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CEF47" w14:textId="77777777" w:rsidR="00B75481" w:rsidRPr="00FC5E8E" w:rsidRDefault="00B75481" w:rsidP="00B75481">
      <w:pPr>
        <w:jc w:val="right"/>
        <w:rPr>
          <w:rFonts w:ascii="David" w:hAnsi="David" w:cs="David"/>
          <w:b/>
          <w:bCs/>
          <w:sz w:val="20"/>
          <w:szCs w:val="20"/>
        </w:rPr>
      </w:pPr>
      <w:r w:rsidRPr="00FC5E8E">
        <w:rPr>
          <w:rFonts w:ascii="David" w:hAnsi="David" w:cs="David"/>
          <w:sz w:val="20"/>
          <w:szCs w:val="20"/>
          <w:rtl/>
        </w:rPr>
        <w:t xml:space="preserve">מספר פנימי: </w:t>
      </w:r>
      <w:bookmarkStart w:id="0" w:name="LGS_Internal_ID"/>
      <w:r w:rsidRPr="00FC5E8E">
        <w:rPr>
          <w:rFonts w:ascii="David" w:hAnsi="David" w:cs="David"/>
          <w:sz w:val="20"/>
          <w:szCs w:val="20"/>
          <w:rtl/>
        </w:rPr>
        <w:t>2222860</w:t>
      </w:r>
      <w:bookmarkEnd w:id="0"/>
    </w:p>
    <w:p w14:paraId="30A4464B" w14:textId="77777777" w:rsidR="00B75481" w:rsidRPr="00D73854" w:rsidRDefault="00B75481" w:rsidP="00B75481">
      <w:pPr>
        <w:pStyle w:val="HeadHatzaotHok"/>
        <w:rPr>
          <w:rFonts w:ascii="David" w:hAnsi="David"/>
          <w:sz w:val="28"/>
          <w:szCs w:val="28"/>
          <w:rtl/>
        </w:rPr>
      </w:pPr>
      <w:r w:rsidRPr="00D73854">
        <w:rPr>
          <w:rFonts w:ascii="David" w:hAnsi="David"/>
          <w:sz w:val="28"/>
          <w:szCs w:val="28"/>
          <w:rtl/>
        </w:rPr>
        <w:t xml:space="preserve">הכנסת </w:t>
      </w:r>
      <w:bookmarkStart w:id="1" w:name="LGS_Knesset_Num"/>
      <w:r w:rsidRPr="00D73854">
        <w:rPr>
          <w:rFonts w:ascii="David" w:hAnsi="David"/>
          <w:sz w:val="28"/>
          <w:szCs w:val="28"/>
          <w:rtl/>
        </w:rPr>
        <w:t>העשרים וחמש</w:t>
      </w:r>
      <w:bookmarkEnd w:id="1"/>
    </w:p>
    <w:p w14:paraId="29297A5F" w14:textId="77777777" w:rsidR="00B75481" w:rsidRPr="00D73854" w:rsidRDefault="00B75481" w:rsidP="00B75481">
      <w:pPr>
        <w:rPr>
          <w:rFonts w:ascii="David" w:hAnsi="David" w:cs="David"/>
          <w:b/>
          <w:bCs/>
          <w:sz w:val="26"/>
          <w:szCs w:val="26"/>
          <w:rtl/>
        </w:rPr>
      </w:pPr>
    </w:p>
    <w:p w14:paraId="20082902" w14:textId="737B252D" w:rsidR="00FC5E8E" w:rsidRPr="00D73854" w:rsidRDefault="00B75481" w:rsidP="00FC5E8E">
      <w:pPr>
        <w:pStyle w:val="David"/>
        <w:spacing w:line="360" w:lineRule="auto"/>
        <w:ind w:left="3544"/>
        <w:rPr>
          <w:rFonts w:ascii="David" w:hAnsi="David"/>
          <w:b/>
          <w:bCs/>
          <w:rtl/>
        </w:rPr>
      </w:pPr>
      <w:bookmarkStart w:id="2" w:name="LGS_Initiators_List"/>
      <w:r w:rsidRPr="00D73854">
        <w:rPr>
          <w:rFonts w:ascii="David" w:hAnsi="David"/>
          <w:b/>
          <w:bCs/>
          <w:rtl/>
        </w:rPr>
        <w:t>יוזם:</w:t>
      </w:r>
      <w:r w:rsidRPr="00D73854">
        <w:rPr>
          <w:rFonts w:ascii="David" w:hAnsi="David"/>
        </w:rPr>
        <w:tab/>
      </w:r>
      <w:r w:rsidRPr="00D73854">
        <w:rPr>
          <w:rFonts w:ascii="David" w:hAnsi="David"/>
          <w:b/>
          <w:bCs/>
          <w:rtl/>
        </w:rPr>
        <w:t xml:space="preserve">      חבר הכנסת</w:t>
      </w:r>
      <w:bookmarkEnd w:id="2"/>
      <w:r w:rsidRPr="00D73854">
        <w:rPr>
          <w:rFonts w:ascii="David" w:hAnsi="David"/>
          <w:b/>
          <w:bCs/>
        </w:rPr>
        <w:tab/>
      </w:r>
      <w:bookmarkStart w:id="3" w:name="LGS_PM_Names"/>
      <w:r w:rsidRPr="00D73854">
        <w:rPr>
          <w:rFonts w:ascii="David" w:hAnsi="David"/>
          <w:b/>
          <w:bCs/>
          <w:rtl/>
        </w:rPr>
        <w:t>אלון שוסטר</w:t>
      </w:r>
      <w:bookmarkStart w:id="4" w:name="LGS_Join_List"/>
      <w:bookmarkEnd w:id="3"/>
      <w:r w:rsidRPr="00D73854">
        <w:rPr>
          <w:rFonts w:ascii="David" w:hAnsi="David"/>
          <w:rtl/>
        </w:rPr>
        <w:t xml:space="preserve"> </w:t>
      </w:r>
      <w:bookmarkEnd w:id="4"/>
      <w:r w:rsidRPr="00D73854">
        <w:rPr>
          <w:rFonts w:ascii="David" w:hAnsi="David"/>
          <w:rtl/>
        </w:rPr>
        <w:tab/>
      </w:r>
      <w:bookmarkStart w:id="5" w:name="LGS_PM_NamesJoin"/>
      <w:r w:rsidRPr="00D73854">
        <w:rPr>
          <w:rFonts w:ascii="David" w:hAnsi="David"/>
          <w:rtl/>
        </w:rPr>
        <w:t xml:space="preserve"> </w:t>
      </w:r>
      <w:bookmarkEnd w:id="5"/>
    </w:p>
    <w:p w14:paraId="384A5730" w14:textId="77777777" w:rsidR="009B05F6" w:rsidRDefault="00B75481" w:rsidP="009B05F6">
      <w:pPr>
        <w:pStyle w:val="David"/>
        <w:spacing w:before="0" w:line="360" w:lineRule="auto"/>
        <w:ind w:left="3544"/>
        <w:rPr>
          <w:rFonts w:ascii="David" w:hAnsi="David"/>
          <w:rtl/>
        </w:rPr>
      </w:pPr>
      <w:r w:rsidRPr="00D73854">
        <w:rPr>
          <w:rFonts w:ascii="David" w:hAnsi="David"/>
        </w:rPr>
        <w:t xml:space="preserve">______________________________________________ </w:t>
      </w:r>
      <w:bookmarkStart w:id="6" w:name="Private_Number"/>
    </w:p>
    <w:p w14:paraId="105FD2B3" w14:textId="67F40AF7" w:rsidR="00B75481" w:rsidRPr="00D73854" w:rsidRDefault="00B75481" w:rsidP="009B05F6">
      <w:pPr>
        <w:pStyle w:val="David"/>
        <w:spacing w:before="0" w:line="360" w:lineRule="auto"/>
        <w:ind w:left="6424" w:firstLine="56"/>
        <w:rPr>
          <w:rFonts w:ascii="David" w:hAnsi="David"/>
          <w:rtl/>
        </w:rPr>
      </w:pPr>
      <w:r>
        <w:rPr>
          <w:rFonts w:ascii="David" w:hAnsi="David"/>
          <w:rtl/>
        </w:rPr>
        <w:t>פ/5122/25</w:t>
      </w:r>
      <w:bookmarkEnd w:id="6"/>
    </w:p>
    <w:p w14:paraId="4722DB25" w14:textId="77777777" w:rsidR="00B75481" w:rsidRPr="00D73854" w:rsidRDefault="00B75481" w:rsidP="00B75481">
      <w:pPr>
        <w:pStyle w:val="HeadHatzaotHok"/>
        <w:rPr>
          <w:rFonts w:ascii="David" w:hAnsi="David"/>
          <w:sz w:val="26"/>
          <w:rtl/>
        </w:rPr>
      </w:pPr>
      <w:bookmarkStart w:id="7" w:name="LGS_Subject"/>
      <w:r>
        <w:rPr>
          <w:rFonts w:ascii="David" w:hAnsi="David" w:hint="cs"/>
          <w:sz w:val="26"/>
          <w:rtl/>
        </w:rPr>
        <w:t xml:space="preserve">הצעת חוק חידוש ופיתוח חבל התקומה (תיקוני חקיקה) (הוראת שעה), התשפ"ה–2024 </w:t>
      </w:r>
      <w:bookmarkEnd w:id="7"/>
    </w:p>
    <w:p w14:paraId="1F3DE42C" w14:textId="77777777" w:rsidR="00B75481" w:rsidRPr="00D73854" w:rsidRDefault="00B75481" w:rsidP="00B75481">
      <w:pPr>
        <w:pStyle w:val="HeadDivreiHesber"/>
        <w:spacing w:before="0" w:after="0"/>
        <w:rPr>
          <w:rFonts w:ascii="David" w:hAnsi="David"/>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B75481" w:rsidRPr="00D73854" w14:paraId="6B1CD525" w14:textId="77777777" w:rsidTr="00DC4164">
        <w:trPr>
          <w:cantSplit/>
          <w:trHeight w:val="60"/>
        </w:trPr>
        <w:tc>
          <w:tcPr>
            <w:tcW w:w="1871" w:type="dxa"/>
          </w:tcPr>
          <w:p w14:paraId="24673BA3" w14:textId="76A9AF67" w:rsidR="00B75481" w:rsidRPr="00D73854" w:rsidRDefault="005154A6" w:rsidP="00DC4164">
            <w:pPr>
              <w:pStyle w:val="TableSideHeading"/>
              <w:keepLines w:val="0"/>
              <w:rPr>
                <w:rFonts w:ascii="David" w:hAnsi="David"/>
                <w:sz w:val="26"/>
              </w:rPr>
            </w:pPr>
            <w:r>
              <w:rPr>
                <w:rFonts w:ascii="David" w:hAnsi="David" w:hint="cs"/>
                <w:sz w:val="26"/>
                <w:rtl/>
              </w:rPr>
              <w:t xml:space="preserve">תיקון חוק לעידוד השקעות הון </w:t>
            </w:r>
            <w:r w:rsidRPr="00D73854">
              <w:rPr>
                <w:rFonts w:ascii="David" w:hAnsi="David"/>
                <w:sz w:val="26"/>
                <w:rtl/>
              </w:rPr>
              <w:t>–</w:t>
            </w:r>
            <w:r>
              <w:rPr>
                <w:rFonts w:ascii="David" w:hAnsi="David" w:hint="cs"/>
                <w:sz w:val="26"/>
                <w:rtl/>
              </w:rPr>
              <w:t xml:space="preserve"> </w:t>
            </w:r>
            <w:r w:rsidR="00B75481" w:rsidRPr="00D73854">
              <w:rPr>
                <w:rFonts w:ascii="David" w:hAnsi="David"/>
                <w:sz w:val="26"/>
                <w:rtl/>
              </w:rPr>
              <w:t>הוראת שעה</w:t>
            </w:r>
          </w:p>
        </w:tc>
        <w:tc>
          <w:tcPr>
            <w:tcW w:w="624" w:type="dxa"/>
          </w:tcPr>
          <w:p w14:paraId="276792EA" w14:textId="77777777" w:rsidR="00B75481" w:rsidRPr="00D73854" w:rsidRDefault="00B75481" w:rsidP="00B75481">
            <w:pPr>
              <w:pStyle w:val="TableText"/>
              <w:keepLines w:val="0"/>
              <w:numPr>
                <w:ilvl w:val="0"/>
                <w:numId w:val="15"/>
              </w:numPr>
              <w:rPr>
                <w:rFonts w:ascii="David" w:hAnsi="David"/>
                <w:sz w:val="26"/>
              </w:rPr>
            </w:pPr>
          </w:p>
        </w:tc>
        <w:tc>
          <w:tcPr>
            <w:tcW w:w="7146" w:type="dxa"/>
            <w:gridSpan w:val="2"/>
          </w:tcPr>
          <w:p w14:paraId="4B7BE569" w14:textId="56E0D443" w:rsidR="00B75481" w:rsidRPr="00D73854" w:rsidRDefault="00B75481" w:rsidP="00DC4164">
            <w:pPr>
              <w:pStyle w:val="TableBlock"/>
              <w:keepLines w:val="0"/>
              <w:rPr>
                <w:rFonts w:ascii="David" w:hAnsi="David"/>
                <w:sz w:val="26"/>
              </w:rPr>
            </w:pPr>
            <w:r>
              <w:rPr>
                <w:rFonts w:ascii="David" w:hAnsi="David" w:hint="cs"/>
                <w:sz w:val="26"/>
                <w:rtl/>
              </w:rPr>
              <w:t>בתקופה שמיום</w:t>
            </w:r>
            <w:r w:rsidRPr="00D73854">
              <w:rPr>
                <w:rFonts w:ascii="David" w:hAnsi="David"/>
                <w:sz w:val="26"/>
                <w:rtl/>
              </w:rPr>
              <w:t xml:space="preserve"> פרסומו של חוק זה ועד ליום א' בטבת התשפ"ח (31 בדצמבר 2028), יקראו את חוק לעידוד השקעות הון, התשי"ט–1959</w:t>
            </w:r>
            <w:r w:rsidRPr="00D73854">
              <w:rPr>
                <w:rStyle w:val="a6"/>
                <w:rFonts w:ascii="David" w:hAnsi="David"/>
                <w:sz w:val="26"/>
                <w:rtl/>
              </w:rPr>
              <w:footnoteReference w:id="2"/>
            </w:r>
            <w:r w:rsidRPr="00D73854">
              <w:rPr>
                <w:rFonts w:ascii="David" w:hAnsi="David"/>
                <w:sz w:val="26"/>
                <w:rtl/>
              </w:rPr>
              <w:t xml:space="preserve">, </w:t>
            </w:r>
            <w:r w:rsidR="009B05F6">
              <w:rPr>
                <w:rFonts w:ascii="David" w:hAnsi="David" w:hint="cs"/>
                <w:sz w:val="26"/>
                <w:rtl/>
              </w:rPr>
              <w:t>כך</w:t>
            </w:r>
            <w:r w:rsidR="00FC5E8E">
              <w:rPr>
                <w:rFonts w:ascii="David" w:hAnsi="David" w:hint="cs"/>
                <w:sz w:val="26"/>
                <w:rtl/>
              </w:rPr>
              <w:t xml:space="preserve"> </w:t>
            </w:r>
            <w:r w:rsidR="009B05F6">
              <w:rPr>
                <w:rFonts w:ascii="David" w:hAnsi="David" w:hint="cs"/>
                <w:sz w:val="26"/>
                <w:rtl/>
              </w:rPr>
              <w:t>ש</w:t>
            </w:r>
            <w:r w:rsidR="00FC5E8E">
              <w:rPr>
                <w:rFonts w:ascii="David" w:hAnsi="David" w:hint="cs"/>
                <w:sz w:val="26"/>
                <w:rtl/>
              </w:rPr>
              <w:t>בסעיף 40ג, אחרי סעיף קטן (ג)</w:t>
            </w:r>
            <w:r w:rsidR="00FC5E8E" w:rsidRPr="00D73854">
              <w:rPr>
                <w:rFonts w:ascii="David" w:hAnsi="David"/>
                <w:sz w:val="26"/>
                <w:rtl/>
              </w:rPr>
              <w:t xml:space="preserve"> יבוא</w:t>
            </w:r>
            <w:r w:rsidR="00FC5E8E">
              <w:rPr>
                <w:rFonts w:ascii="David" w:hAnsi="David" w:hint="cs"/>
                <w:sz w:val="26"/>
                <w:rtl/>
              </w:rPr>
              <w:t>:</w:t>
            </w:r>
          </w:p>
        </w:tc>
      </w:tr>
      <w:tr w:rsidR="00FC5E8E" w14:paraId="52E5A675" w14:textId="77777777" w:rsidTr="009542A9">
        <w:trPr>
          <w:cantSplit/>
          <w:trHeight w:val="60"/>
        </w:trPr>
        <w:tc>
          <w:tcPr>
            <w:tcW w:w="1871" w:type="dxa"/>
          </w:tcPr>
          <w:p w14:paraId="5B3AB190" w14:textId="77777777" w:rsidR="00FC5E8E" w:rsidRDefault="00FC5E8E" w:rsidP="00DC4164">
            <w:pPr>
              <w:pStyle w:val="TableSideHeading"/>
            </w:pPr>
          </w:p>
        </w:tc>
        <w:tc>
          <w:tcPr>
            <w:tcW w:w="624" w:type="dxa"/>
          </w:tcPr>
          <w:p w14:paraId="75BABF58" w14:textId="77777777" w:rsidR="00FC5E8E" w:rsidRDefault="00FC5E8E" w:rsidP="00DC4164">
            <w:pPr>
              <w:pStyle w:val="TableText"/>
            </w:pPr>
          </w:p>
        </w:tc>
        <w:tc>
          <w:tcPr>
            <w:tcW w:w="7146" w:type="dxa"/>
            <w:gridSpan w:val="2"/>
          </w:tcPr>
          <w:p w14:paraId="261D7386" w14:textId="7A1AE598" w:rsidR="00FC5E8E" w:rsidRPr="00703707" w:rsidRDefault="00FC5E8E" w:rsidP="00DC4164">
            <w:pPr>
              <w:pStyle w:val="TableBlock"/>
            </w:pPr>
            <w:r>
              <w:rPr>
                <w:rFonts w:ascii="David" w:hAnsi="David" w:hint="cs"/>
                <w:sz w:val="26"/>
                <w:rtl/>
              </w:rPr>
              <w:t>"(ג1)</w:t>
            </w:r>
            <w:r>
              <w:rPr>
                <w:rFonts w:ascii="David" w:hAnsi="David"/>
                <w:sz w:val="26"/>
                <w:rtl/>
              </w:rPr>
              <w:tab/>
            </w:r>
            <w:r w:rsidRPr="00D73854">
              <w:rPr>
                <w:rFonts w:ascii="David" w:hAnsi="David"/>
                <w:sz w:val="26"/>
                <w:rtl/>
              </w:rPr>
              <w:t xml:space="preserve">השרים רשאים לקבוע בתוספת את שיעור מענק השקעה לזכאי שהוא מפעל חדש שהוקם בחבל התקומה, כמשמעותו בחוק </w:t>
            </w:r>
            <w:r>
              <w:rPr>
                <w:rFonts w:ascii="David" w:hAnsi="David" w:hint="cs"/>
                <w:sz w:val="26"/>
                <w:rtl/>
              </w:rPr>
              <w:t xml:space="preserve">חידוש ופיתוח </w:t>
            </w:r>
            <w:r w:rsidRPr="00D73854">
              <w:rPr>
                <w:rFonts w:ascii="David" w:hAnsi="David"/>
                <w:sz w:val="26"/>
                <w:rtl/>
              </w:rPr>
              <w:t>חבל התקומה</w:t>
            </w:r>
            <w:r>
              <w:rPr>
                <w:rFonts w:ascii="David" w:hAnsi="David" w:hint="cs"/>
                <w:sz w:val="26"/>
                <w:rtl/>
              </w:rPr>
              <w:t>, התשפ"ד</w:t>
            </w:r>
            <w:r>
              <w:rPr>
                <w:rFonts w:ascii="David" w:hAnsi="David" w:hint="eastAsia"/>
                <w:sz w:val="26"/>
                <w:rtl/>
              </w:rPr>
              <w:t>–</w:t>
            </w:r>
            <w:r>
              <w:rPr>
                <w:rFonts w:ascii="David" w:hAnsi="David" w:hint="cs"/>
                <w:sz w:val="26"/>
                <w:rtl/>
              </w:rPr>
              <w:t>2024</w:t>
            </w:r>
            <w:r w:rsidRPr="00D73854">
              <w:rPr>
                <w:rFonts w:ascii="David" w:hAnsi="David"/>
                <w:sz w:val="26"/>
                <w:rtl/>
              </w:rPr>
              <w:t xml:space="preserve">, או מפעל שהעתיק את פעילותו לחבל התקומה, לרבות מפעל </w:t>
            </w:r>
            <w:r>
              <w:rPr>
                <w:rFonts w:ascii="David" w:hAnsi="David"/>
                <w:sz w:val="26"/>
                <w:rtl/>
              </w:rPr>
              <w:t>שהרחיב את פעילותו לחבל התקומה."</w:t>
            </w:r>
          </w:p>
        </w:tc>
      </w:tr>
      <w:tr w:rsidR="00B75481" w:rsidRPr="00D73854" w14:paraId="70BCEA2F" w14:textId="77777777" w:rsidTr="00DC4164">
        <w:trPr>
          <w:cantSplit/>
          <w:trHeight w:val="60"/>
        </w:trPr>
        <w:tc>
          <w:tcPr>
            <w:tcW w:w="1871" w:type="dxa"/>
          </w:tcPr>
          <w:p w14:paraId="4F2FBAFB" w14:textId="4244B194" w:rsidR="00B75481" w:rsidRPr="00D73854" w:rsidRDefault="005154A6" w:rsidP="00DC4164">
            <w:pPr>
              <w:pStyle w:val="TableSideHeading"/>
              <w:keepLines w:val="0"/>
              <w:rPr>
                <w:rFonts w:ascii="David" w:hAnsi="David"/>
                <w:sz w:val="26"/>
                <w:rtl/>
              </w:rPr>
            </w:pPr>
            <w:r>
              <w:rPr>
                <w:rFonts w:ascii="David" w:hAnsi="David" w:hint="cs"/>
                <w:sz w:val="26"/>
                <w:rtl/>
              </w:rPr>
              <w:t xml:space="preserve">תיקון חוק הכניסה לישראל – </w:t>
            </w:r>
            <w:r w:rsidR="00B75481" w:rsidRPr="00D73854">
              <w:rPr>
                <w:rFonts w:ascii="David" w:hAnsi="David"/>
                <w:sz w:val="26"/>
                <w:rtl/>
              </w:rPr>
              <w:t xml:space="preserve">הוראת שעה </w:t>
            </w:r>
          </w:p>
        </w:tc>
        <w:tc>
          <w:tcPr>
            <w:tcW w:w="624" w:type="dxa"/>
          </w:tcPr>
          <w:p w14:paraId="75251F46" w14:textId="77777777" w:rsidR="00B75481" w:rsidRPr="00D73854" w:rsidRDefault="00B75481" w:rsidP="00B75481">
            <w:pPr>
              <w:pStyle w:val="TableText"/>
              <w:keepLines w:val="0"/>
              <w:numPr>
                <w:ilvl w:val="0"/>
                <w:numId w:val="15"/>
              </w:numPr>
              <w:rPr>
                <w:rFonts w:ascii="David" w:hAnsi="David"/>
                <w:sz w:val="26"/>
              </w:rPr>
            </w:pPr>
          </w:p>
        </w:tc>
        <w:tc>
          <w:tcPr>
            <w:tcW w:w="7146" w:type="dxa"/>
            <w:gridSpan w:val="2"/>
          </w:tcPr>
          <w:p w14:paraId="2C2DB671" w14:textId="36136C39" w:rsidR="00B75481" w:rsidRPr="00D73854" w:rsidRDefault="00B75481" w:rsidP="00DC4164">
            <w:pPr>
              <w:pStyle w:val="TableBlock"/>
              <w:keepLines w:val="0"/>
              <w:rPr>
                <w:rFonts w:ascii="David" w:hAnsi="David"/>
                <w:sz w:val="26"/>
                <w:rtl/>
              </w:rPr>
            </w:pPr>
            <w:r>
              <w:rPr>
                <w:rFonts w:ascii="David" w:hAnsi="David" w:hint="cs"/>
                <w:sz w:val="26"/>
                <w:rtl/>
              </w:rPr>
              <w:t>בתקופה</w:t>
            </w:r>
            <w:r w:rsidRPr="00D73854">
              <w:rPr>
                <w:rFonts w:ascii="David" w:hAnsi="David"/>
                <w:sz w:val="26"/>
                <w:rtl/>
              </w:rPr>
              <w:t xml:space="preserve"> </w:t>
            </w:r>
            <w:r>
              <w:rPr>
                <w:rFonts w:ascii="David" w:hAnsi="David" w:hint="cs"/>
                <w:sz w:val="26"/>
                <w:rtl/>
              </w:rPr>
              <w:t>ש</w:t>
            </w:r>
            <w:r w:rsidRPr="00D73854">
              <w:rPr>
                <w:rFonts w:ascii="David" w:hAnsi="David"/>
                <w:sz w:val="26"/>
                <w:rtl/>
              </w:rPr>
              <w:t>מיום פרסומו של חוק זה ועד ליום א' בטבת התשפ"ח (31 בדצמבר 2028), יקראו את חוק הכניסה לישראל, התשי"ב</w:t>
            </w:r>
            <w:r>
              <w:rPr>
                <w:rFonts w:ascii="David" w:hAnsi="David" w:hint="cs"/>
                <w:sz w:val="26"/>
                <w:rtl/>
              </w:rPr>
              <w:t>–</w:t>
            </w:r>
            <w:r w:rsidRPr="00D73854">
              <w:rPr>
                <w:rFonts w:ascii="David" w:hAnsi="David"/>
                <w:sz w:val="26"/>
                <w:rtl/>
              </w:rPr>
              <w:t>1952</w:t>
            </w:r>
            <w:r w:rsidRPr="00D73854">
              <w:rPr>
                <w:rStyle w:val="a6"/>
                <w:rFonts w:ascii="David" w:hAnsi="David"/>
                <w:sz w:val="26"/>
                <w:rtl/>
              </w:rPr>
              <w:footnoteReference w:id="3"/>
            </w:r>
            <w:r w:rsidRPr="00D73854">
              <w:rPr>
                <w:rFonts w:ascii="David" w:hAnsi="David"/>
                <w:sz w:val="26"/>
                <w:rtl/>
              </w:rPr>
              <w:t xml:space="preserve">, כך </w:t>
            </w:r>
            <w:r w:rsidR="009B05F6">
              <w:rPr>
                <w:rFonts w:ascii="David" w:hAnsi="David" w:hint="cs"/>
                <w:sz w:val="26"/>
                <w:rtl/>
              </w:rPr>
              <w:t>ש</w:t>
            </w:r>
            <w:r w:rsidR="00FC5E8E">
              <w:rPr>
                <w:rFonts w:ascii="David" w:hAnsi="David" w:hint="cs"/>
                <w:sz w:val="26"/>
                <w:rtl/>
              </w:rPr>
              <w:t>ב</w:t>
            </w:r>
            <w:r w:rsidR="00FC5E8E" w:rsidRPr="00D73854">
              <w:rPr>
                <w:rFonts w:ascii="David" w:hAnsi="David"/>
                <w:sz w:val="26"/>
                <w:rtl/>
              </w:rPr>
              <w:t>סעיף 3א</w:t>
            </w:r>
            <w:r w:rsidR="00FC5E8E">
              <w:rPr>
                <w:rFonts w:ascii="David" w:hAnsi="David" w:hint="cs"/>
                <w:sz w:val="26"/>
                <w:rtl/>
              </w:rPr>
              <w:t>, אחרי סעיף קטן (א) יבוא:</w:t>
            </w:r>
          </w:p>
        </w:tc>
      </w:tr>
      <w:tr w:rsidR="00FC5E8E" w14:paraId="0EF17696" w14:textId="77777777" w:rsidTr="00894CA0">
        <w:trPr>
          <w:cantSplit/>
          <w:trHeight w:val="60"/>
        </w:trPr>
        <w:tc>
          <w:tcPr>
            <w:tcW w:w="1871" w:type="dxa"/>
          </w:tcPr>
          <w:p w14:paraId="40F7061D" w14:textId="77777777" w:rsidR="00FC5E8E" w:rsidRDefault="00FC5E8E" w:rsidP="00DC4164">
            <w:pPr>
              <w:pStyle w:val="TableSideHeading"/>
            </w:pPr>
          </w:p>
        </w:tc>
        <w:tc>
          <w:tcPr>
            <w:tcW w:w="624" w:type="dxa"/>
          </w:tcPr>
          <w:p w14:paraId="5FB25DD3" w14:textId="77777777" w:rsidR="00FC5E8E" w:rsidRDefault="00FC5E8E" w:rsidP="00DC4164">
            <w:pPr>
              <w:pStyle w:val="TableText"/>
            </w:pPr>
          </w:p>
        </w:tc>
        <w:tc>
          <w:tcPr>
            <w:tcW w:w="7146" w:type="dxa"/>
            <w:gridSpan w:val="2"/>
          </w:tcPr>
          <w:p w14:paraId="4C4F07F7" w14:textId="6EFC53A4" w:rsidR="00FC5E8E" w:rsidRPr="00FC5E8E" w:rsidRDefault="00FC5E8E" w:rsidP="00FC5E8E">
            <w:pPr>
              <w:pStyle w:val="TableBlock"/>
            </w:pPr>
            <w:r w:rsidRPr="00FC5E8E">
              <w:rPr>
                <w:rtl/>
              </w:rPr>
              <w:t xml:space="preserve">"(א1) </w:t>
            </w:r>
            <w:r>
              <w:rPr>
                <w:rtl/>
              </w:rPr>
              <w:tab/>
            </w:r>
            <w:r w:rsidRPr="00FC5E8E">
              <w:rPr>
                <w:rtl/>
              </w:rPr>
              <w:t>לעניין הארכה של רישיון לישיבת ביקור לפי סעיף קטן (א) שניתן לעובד זר שמועסק בחקלאות בשטחים חקלאיים בחבל התקומה, ותקופת שהייתו מסתיימת עד ____בדצמבר 2025, רשאי שר הפנים, על אף האמור בסעיף קטן (א), להאריך את רישיונו לישיבת ביקור ובלבד שיתקיימו כל אלה:</w:t>
            </w:r>
          </w:p>
        </w:tc>
      </w:tr>
      <w:tr w:rsidR="00FC5E8E" w14:paraId="5A5F3B63" w14:textId="77777777" w:rsidTr="00035FA9">
        <w:trPr>
          <w:cantSplit/>
          <w:trHeight w:val="60"/>
        </w:trPr>
        <w:tc>
          <w:tcPr>
            <w:tcW w:w="1871" w:type="dxa"/>
          </w:tcPr>
          <w:p w14:paraId="605F0286" w14:textId="77777777" w:rsidR="00FC5E8E" w:rsidRDefault="00FC5E8E" w:rsidP="00DC4164">
            <w:pPr>
              <w:pStyle w:val="TableSideHeading"/>
            </w:pPr>
          </w:p>
        </w:tc>
        <w:tc>
          <w:tcPr>
            <w:tcW w:w="624" w:type="dxa"/>
          </w:tcPr>
          <w:p w14:paraId="37F0CB10" w14:textId="77777777" w:rsidR="00FC5E8E" w:rsidRDefault="00FC5E8E" w:rsidP="00DC4164">
            <w:pPr>
              <w:pStyle w:val="TableText"/>
            </w:pPr>
          </w:p>
        </w:tc>
        <w:tc>
          <w:tcPr>
            <w:tcW w:w="624" w:type="dxa"/>
          </w:tcPr>
          <w:p w14:paraId="2BAAEC5F" w14:textId="77777777" w:rsidR="00FC5E8E" w:rsidRDefault="00FC5E8E" w:rsidP="00DC4164">
            <w:pPr>
              <w:pStyle w:val="TableText"/>
            </w:pPr>
          </w:p>
        </w:tc>
        <w:tc>
          <w:tcPr>
            <w:tcW w:w="6522" w:type="dxa"/>
          </w:tcPr>
          <w:p w14:paraId="0393DBAD" w14:textId="77777777" w:rsidR="00FC5E8E" w:rsidRDefault="00FC5E8E" w:rsidP="00DC4164">
            <w:pPr>
              <w:pStyle w:val="TableBlock"/>
            </w:pPr>
            <w:r>
              <w:rPr>
                <w:rFonts w:ascii="David" w:hAnsi="David" w:hint="cs"/>
                <w:sz w:val="26"/>
                <w:rtl/>
              </w:rPr>
              <w:t>(1)</w:t>
            </w:r>
            <w:r>
              <w:rPr>
                <w:rFonts w:ascii="David" w:hAnsi="David"/>
                <w:sz w:val="26"/>
                <w:rtl/>
              </w:rPr>
              <w:tab/>
            </w:r>
            <w:r w:rsidRPr="00D73854">
              <w:rPr>
                <w:rFonts w:ascii="David" w:hAnsi="David"/>
                <w:sz w:val="26"/>
                <w:rtl/>
              </w:rPr>
              <w:t>כל תקופות רישיונו לישיבת ביקור ובכלל כך תקופות הארכה, לא תעלה על 7 שנים;</w:t>
            </w:r>
          </w:p>
        </w:tc>
      </w:tr>
      <w:tr w:rsidR="00FC5E8E" w14:paraId="77BDF037" w14:textId="77777777" w:rsidTr="00665ADA">
        <w:trPr>
          <w:cantSplit/>
          <w:trHeight w:val="60"/>
        </w:trPr>
        <w:tc>
          <w:tcPr>
            <w:tcW w:w="1871" w:type="dxa"/>
          </w:tcPr>
          <w:p w14:paraId="12762001" w14:textId="77777777" w:rsidR="00FC5E8E" w:rsidRDefault="00FC5E8E" w:rsidP="00DC4164">
            <w:pPr>
              <w:pStyle w:val="TableSideHeading"/>
            </w:pPr>
          </w:p>
        </w:tc>
        <w:tc>
          <w:tcPr>
            <w:tcW w:w="624" w:type="dxa"/>
          </w:tcPr>
          <w:p w14:paraId="58B69470" w14:textId="77777777" w:rsidR="00FC5E8E" w:rsidRDefault="00FC5E8E" w:rsidP="00DC4164">
            <w:pPr>
              <w:pStyle w:val="TableText"/>
            </w:pPr>
          </w:p>
        </w:tc>
        <w:tc>
          <w:tcPr>
            <w:tcW w:w="624" w:type="dxa"/>
          </w:tcPr>
          <w:p w14:paraId="6F6970DD" w14:textId="77777777" w:rsidR="00FC5E8E" w:rsidRDefault="00FC5E8E" w:rsidP="00DC4164">
            <w:pPr>
              <w:pStyle w:val="TableText"/>
            </w:pPr>
          </w:p>
        </w:tc>
        <w:tc>
          <w:tcPr>
            <w:tcW w:w="6522" w:type="dxa"/>
          </w:tcPr>
          <w:p w14:paraId="33F5CCC8" w14:textId="3D2D59C5" w:rsidR="00FC5E8E" w:rsidRDefault="00FC5E8E" w:rsidP="00DC4164">
            <w:pPr>
              <w:pStyle w:val="TableBlock"/>
              <w:rPr>
                <w:rFonts w:ascii="David" w:hAnsi="David"/>
                <w:sz w:val="26"/>
                <w:rtl/>
              </w:rPr>
            </w:pPr>
            <w:r>
              <w:rPr>
                <w:rFonts w:ascii="David" w:hAnsi="David" w:hint="cs"/>
                <w:sz w:val="26"/>
                <w:rtl/>
              </w:rPr>
              <w:t>(2)</w:t>
            </w:r>
            <w:r>
              <w:rPr>
                <w:rFonts w:ascii="David" w:hAnsi="David"/>
                <w:sz w:val="26"/>
                <w:rtl/>
              </w:rPr>
              <w:tab/>
            </w:r>
            <w:r w:rsidRPr="00D73854">
              <w:rPr>
                <w:rFonts w:ascii="David" w:hAnsi="David"/>
                <w:sz w:val="26"/>
                <w:rtl/>
              </w:rPr>
              <w:t xml:space="preserve">מועד יציאתו מהארץ יהיה לא מאוחר מיום </w:t>
            </w:r>
            <w:r w:rsidR="009B05F6">
              <w:rPr>
                <w:rFonts w:ascii="David" w:hAnsi="David"/>
                <w:sz w:val="26"/>
                <w:rtl/>
              </w:rPr>
              <w:t>א' בטבת התשפ"ח (31 בדצמבר 2028)</w:t>
            </w:r>
            <w:r w:rsidRPr="00D73854">
              <w:rPr>
                <w:rFonts w:ascii="David" w:hAnsi="David"/>
                <w:sz w:val="26"/>
                <w:rtl/>
              </w:rPr>
              <w:t>.</w:t>
            </w:r>
            <w:r w:rsidR="009B05F6">
              <w:rPr>
                <w:rFonts w:ascii="David" w:hAnsi="David" w:hint="cs"/>
                <w:sz w:val="26"/>
                <w:rtl/>
              </w:rPr>
              <w:t>"</w:t>
            </w:r>
          </w:p>
        </w:tc>
      </w:tr>
      <w:tr w:rsidR="00B75481" w:rsidRPr="00D73854" w14:paraId="4B72E0C2" w14:textId="77777777" w:rsidTr="00DC4164">
        <w:trPr>
          <w:cantSplit/>
          <w:trHeight w:val="60"/>
        </w:trPr>
        <w:tc>
          <w:tcPr>
            <w:tcW w:w="1871" w:type="dxa"/>
          </w:tcPr>
          <w:p w14:paraId="4CB56CD5" w14:textId="19464F9F" w:rsidR="00B75481" w:rsidRPr="00D73854" w:rsidRDefault="005154A6" w:rsidP="00DC4164">
            <w:pPr>
              <w:pStyle w:val="TableSideHeading"/>
              <w:keepLines w:val="0"/>
              <w:rPr>
                <w:rFonts w:ascii="David" w:hAnsi="David"/>
                <w:sz w:val="26"/>
                <w:rtl/>
              </w:rPr>
            </w:pPr>
            <w:r>
              <w:rPr>
                <w:rFonts w:ascii="David" w:hAnsi="David" w:hint="cs"/>
                <w:sz w:val="26"/>
                <w:rtl/>
              </w:rPr>
              <w:t xml:space="preserve">תיקון חוק הספורט – </w:t>
            </w:r>
            <w:r w:rsidR="00B75481" w:rsidRPr="00D73854">
              <w:rPr>
                <w:rFonts w:ascii="David" w:hAnsi="David"/>
                <w:sz w:val="26"/>
                <w:rtl/>
              </w:rPr>
              <w:t>הוראת שעה</w:t>
            </w:r>
          </w:p>
        </w:tc>
        <w:tc>
          <w:tcPr>
            <w:tcW w:w="624" w:type="dxa"/>
          </w:tcPr>
          <w:p w14:paraId="671D1526" w14:textId="77777777" w:rsidR="00B75481" w:rsidRPr="004E79FB" w:rsidRDefault="00B75481" w:rsidP="00DC4164">
            <w:pPr>
              <w:pStyle w:val="af0"/>
              <w:numPr>
                <w:ilvl w:val="0"/>
                <w:numId w:val="0"/>
              </w:numPr>
              <w:jc w:val="left"/>
              <w:rPr>
                <w:rFonts w:cs="David"/>
                <w:sz w:val="26"/>
                <w:szCs w:val="26"/>
              </w:rPr>
            </w:pPr>
            <w:r w:rsidRPr="0028191B">
              <w:rPr>
                <w:rFonts w:cs="David"/>
                <w:color w:val="auto"/>
                <w:sz w:val="26"/>
                <w:szCs w:val="26"/>
                <w:rtl/>
              </w:rPr>
              <w:t>3.</w:t>
            </w:r>
          </w:p>
        </w:tc>
        <w:tc>
          <w:tcPr>
            <w:tcW w:w="7146" w:type="dxa"/>
            <w:gridSpan w:val="2"/>
          </w:tcPr>
          <w:p w14:paraId="61C1309D" w14:textId="4772FC0C" w:rsidR="00B75481" w:rsidRPr="00D73854" w:rsidRDefault="00B75481" w:rsidP="00DC4164">
            <w:pPr>
              <w:pStyle w:val="TableBlock"/>
              <w:rPr>
                <w:rFonts w:ascii="David" w:hAnsi="David"/>
                <w:sz w:val="26"/>
                <w:rtl/>
              </w:rPr>
            </w:pPr>
            <w:r>
              <w:rPr>
                <w:rFonts w:ascii="David" w:hAnsi="David" w:hint="cs"/>
                <w:sz w:val="26"/>
                <w:rtl/>
              </w:rPr>
              <w:t>בתקופה</w:t>
            </w:r>
            <w:r w:rsidRPr="00D73854">
              <w:rPr>
                <w:rFonts w:ascii="David" w:hAnsi="David"/>
                <w:sz w:val="26"/>
                <w:rtl/>
              </w:rPr>
              <w:t xml:space="preserve"> </w:t>
            </w:r>
            <w:r>
              <w:rPr>
                <w:rFonts w:ascii="David" w:hAnsi="David" w:hint="cs"/>
                <w:sz w:val="26"/>
                <w:rtl/>
              </w:rPr>
              <w:t>ש</w:t>
            </w:r>
            <w:r w:rsidRPr="00D73854">
              <w:rPr>
                <w:rFonts w:ascii="David" w:hAnsi="David"/>
                <w:sz w:val="26"/>
                <w:rtl/>
              </w:rPr>
              <w:t xml:space="preserve">מיום פרסומו של חוק זה ועד ליום א' בטבת התשפ"ח (31 בדצמבר 2028), יקראו את חוק הספורט, </w:t>
            </w:r>
            <w:r>
              <w:rPr>
                <w:rFonts w:ascii="David" w:hAnsi="David" w:hint="cs"/>
                <w:sz w:val="26"/>
                <w:rtl/>
              </w:rPr>
              <w:t>ה</w:t>
            </w:r>
            <w:r w:rsidRPr="00D73854">
              <w:rPr>
                <w:rFonts w:ascii="David" w:hAnsi="David"/>
                <w:sz w:val="26"/>
                <w:rtl/>
              </w:rPr>
              <w:t>תשמ"ח</w:t>
            </w:r>
            <w:r>
              <w:rPr>
                <w:rFonts w:ascii="David" w:hAnsi="David" w:hint="cs"/>
                <w:sz w:val="26"/>
                <w:rtl/>
              </w:rPr>
              <w:t>–</w:t>
            </w:r>
            <w:r w:rsidRPr="00D73854">
              <w:rPr>
                <w:rFonts w:ascii="David" w:hAnsi="David"/>
                <w:sz w:val="26"/>
                <w:rtl/>
              </w:rPr>
              <w:t>1988</w:t>
            </w:r>
            <w:r w:rsidRPr="00D73854">
              <w:rPr>
                <w:rStyle w:val="a6"/>
                <w:rFonts w:ascii="David" w:hAnsi="David"/>
                <w:sz w:val="26"/>
                <w:rtl/>
              </w:rPr>
              <w:footnoteReference w:id="4"/>
            </w:r>
            <w:r>
              <w:rPr>
                <w:rFonts w:ascii="David" w:hAnsi="David" w:hint="cs"/>
                <w:sz w:val="26"/>
                <w:rtl/>
              </w:rPr>
              <w:t>,</w:t>
            </w:r>
            <w:r w:rsidRPr="00D73854">
              <w:rPr>
                <w:rFonts w:ascii="David" w:hAnsi="David"/>
                <w:sz w:val="26"/>
                <w:rtl/>
              </w:rPr>
              <w:t xml:space="preserve"> כך</w:t>
            </w:r>
            <w:r w:rsidR="00FC5E8E">
              <w:rPr>
                <w:rFonts w:ascii="David" w:hAnsi="David" w:hint="cs"/>
                <w:sz w:val="26"/>
                <w:rtl/>
              </w:rPr>
              <w:t xml:space="preserve"> </w:t>
            </w:r>
            <w:r w:rsidR="009B05F6">
              <w:rPr>
                <w:rFonts w:ascii="David" w:hAnsi="David" w:hint="cs"/>
                <w:sz w:val="26"/>
                <w:rtl/>
              </w:rPr>
              <w:t>ש</w:t>
            </w:r>
            <w:r w:rsidR="00FC5E8E">
              <w:rPr>
                <w:rFonts w:ascii="David" w:hAnsi="David" w:hint="cs"/>
                <w:sz w:val="26"/>
                <w:rtl/>
              </w:rPr>
              <w:t>בסעיף 17יד, אחרי סעיף קטן (ח) יבוא</w:t>
            </w:r>
            <w:r>
              <w:rPr>
                <w:rFonts w:ascii="David" w:hAnsi="David" w:hint="cs"/>
                <w:sz w:val="26"/>
                <w:rtl/>
              </w:rPr>
              <w:t>:</w:t>
            </w:r>
            <w:r w:rsidRPr="00D73854">
              <w:rPr>
                <w:rFonts w:ascii="David" w:hAnsi="David"/>
                <w:sz w:val="26"/>
                <w:rtl/>
              </w:rPr>
              <w:t xml:space="preserve"> </w:t>
            </w:r>
          </w:p>
        </w:tc>
      </w:tr>
      <w:tr w:rsidR="00FC5E8E" w14:paraId="6B714751" w14:textId="77777777" w:rsidTr="00A73462">
        <w:trPr>
          <w:cantSplit/>
          <w:trHeight w:val="60"/>
        </w:trPr>
        <w:tc>
          <w:tcPr>
            <w:tcW w:w="1871" w:type="dxa"/>
          </w:tcPr>
          <w:p w14:paraId="54FB3C8B" w14:textId="77777777" w:rsidR="00FC5E8E" w:rsidRDefault="00FC5E8E" w:rsidP="00DC4164">
            <w:pPr>
              <w:pStyle w:val="TableSideHeading"/>
            </w:pPr>
          </w:p>
        </w:tc>
        <w:tc>
          <w:tcPr>
            <w:tcW w:w="624" w:type="dxa"/>
          </w:tcPr>
          <w:p w14:paraId="454E8F04" w14:textId="77777777" w:rsidR="00FC5E8E" w:rsidRDefault="00FC5E8E" w:rsidP="00DC4164">
            <w:pPr>
              <w:pStyle w:val="TableText"/>
            </w:pPr>
          </w:p>
        </w:tc>
        <w:tc>
          <w:tcPr>
            <w:tcW w:w="7146" w:type="dxa"/>
            <w:gridSpan w:val="2"/>
          </w:tcPr>
          <w:p w14:paraId="08D84239" w14:textId="1FC5C5DA" w:rsidR="00FC5E8E" w:rsidRDefault="00FC5E8E" w:rsidP="00DC4164">
            <w:pPr>
              <w:pStyle w:val="TableBlock"/>
            </w:pPr>
            <w:r w:rsidRPr="00D73854">
              <w:rPr>
                <w:rFonts w:ascii="David" w:hAnsi="David"/>
                <w:sz w:val="26"/>
                <w:rtl/>
              </w:rPr>
              <w:t xml:space="preserve">"(ט) </w:t>
            </w:r>
            <w:r w:rsidR="009B05F6">
              <w:rPr>
                <w:rFonts w:ascii="David" w:hAnsi="David"/>
                <w:sz w:val="26"/>
                <w:rtl/>
              </w:rPr>
              <w:t>תוכנית</w:t>
            </w:r>
            <w:r w:rsidRPr="00D73854">
              <w:rPr>
                <w:rFonts w:ascii="David" w:hAnsi="David"/>
                <w:sz w:val="26"/>
                <w:rtl/>
              </w:rPr>
              <w:t xml:space="preserve"> המתקנים הלאומית לא תחול על אזור חבל התקומה</w:t>
            </w:r>
            <w:r w:rsidRPr="00D73854">
              <w:rPr>
                <w:rStyle w:val="a6"/>
                <w:rFonts w:ascii="David" w:hAnsi="David"/>
                <w:sz w:val="26"/>
                <w:rtl/>
              </w:rPr>
              <w:footnoteReference w:id="5"/>
            </w:r>
            <w:r w:rsidRPr="00D73854">
              <w:rPr>
                <w:rFonts w:ascii="David" w:hAnsi="David"/>
                <w:sz w:val="26"/>
                <w:rtl/>
              </w:rPr>
              <w:t>, ושרים יק</w:t>
            </w:r>
            <w:r>
              <w:rPr>
                <w:rFonts w:ascii="David" w:hAnsi="David"/>
                <w:sz w:val="26"/>
                <w:rtl/>
              </w:rPr>
              <w:t>בעו תוכניתי ייעודית לחבל זה."</w:t>
            </w:r>
          </w:p>
        </w:tc>
      </w:tr>
      <w:tr w:rsidR="00B75481" w14:paraId="25AAE67B" w14:textId="77777777" w:rsidTr="00DC4164">
        <w:trPr>
          <w:cantSplit/>
          <w:trHeight w:val="60"/>
        </w:trPr>
        <w:tc>
          <w:tcPr>
            <w:tcW w:w="1871" w:type="dxa"/>
          </w:tcPr>
          <w:p w14:paraId="73C9DA9F" w14:textId="4CD4391D" w:rsidR="00B75481" w:rsidRDefault="005154A6" w:rsidP="00DC4164">
            <w:pPr>
              <w:pStyle w:val="TableSideHeading"/>
            </w:pPr>
            <w:r>
              <w:rPr>
                <w:rFonts w:ascii="David" w:hAnsi="David" w:hint="cs"/>
                <w:sz w:val="26"/>
                <w:rtl/>
              </w:rPr>
              <w:t xml:space="preserve">תיקון חוק שירותי הסעד – </w:t>
            </w:r>
            <w:r w:rsidR="00B75481" w:rsidRPr="00D73854">
              <w:rPr>
                <w:rFonts w:ascii="David" w:hAnsi="David"/>
                <w:sz w:val="26"/>
                <w:rtl/>
              </w:rPr>
              <w:t xml:space="preserve">הוראת שעה </w:t>
            </w:r>
          </w:p>
        </w:tc>
        <w:tc>
          <w:tcPr>
            <w:tcW w:w="624" w:type="dxa"/>
          </w:tcPr>
          <w:p w14:paraId="21D4EAB1" w14:textId="28D7FFD6" w:rsidR="00B75481" w:rsidRDefault="00F526CB" w:rsidP="00DC4164">
            <w:pPr>
              <w:pStyle w:val="TableText"/>
            </w:pPr>
            <w:r>
              <w:rPr>
                <w:rFonts w:hint="cs"/>
                <w:rtl/>
              </w:rPr>
              <w:t>4</w:t>
            </w:r>
            <w:r w:rsidR="00B75481">
              <w:rPr>
                <w:rFonts w:hint="cs"/>
                <w:rtl/>
              </w:rPr>
              <w:t>.</w:t>
            </w:r>
          </w:p>
        </w:tc>
        <w:tc>
          <w:tcPr>
            <w:tcW w:w="7146" w:type="dxa"/>
            <w:gridSpan w:val="2"/>
          </w:tcPr>
          <w:p w14:paraId="003C558E" w14:textId="46CBE568" w:rsidR="00B75481" w:rsidRPr="00C34DE2" w:rsidRDefault="00B75481" w:rsidP="009B05F6">
            <w:pPr>
              <w:pStyle w:val="TableBlock"/>
            </w:pPr>
            <w:r w:rsidRPr="00D73854">
              <w:rPr>
                <w:rFonts w:ascii="David" w:hAnsi="David"/>
                <w:sz w:val="26"/>
                <w:rtl/>
              </w:rPr>
              <w:t xml:space="preserve">בתקופה </w:t>
            </w:r>
            <w:r>
              <w:rPr>
                <w:rFonts w:ascii="David" w:hAnsi="David" w:hint="cs"/>
                <w:sz w:val="26"/>
                <w:rtl/>
              </w:rPr>
              <w:t>ש</w:t>
            </w:r>
            <w:r w:rsidRPr="00D73854">
              <w:rPr>
                <w:rFonts w:ascii="David" w:hAnsi="David"/>
                <w:sz w:val="26"/>
                <w:rtl/>
              </w:rPr>
              <w:t>מיום</w:t>
            </w:r>
            <w:r>
              <w:rPr>
                <w:rFonts w:ascii="David" w:hAnsi="David" w:hint="cs"/>
                <w:sz w:val="26"/>
                <w:rtl/>
              </w:rPr>
              <w:t xml:space="preserve"> פרסומו של חוק זה </w:t>
            </w:r>
            <w:r w:rsidRPr="0010011A">
              <w:rPr>
                <w:rFonts w:ascii="David" w:hAnsi="David"/>
                <w:sz w:val="26"/>
                <w:rtl/>
              </w:rPr>
              <w:t>ועד יום א' בטבת התשפ"ח (31 בדצמבר 2028), י</w:t>
            </w:r>
            <w:r>
              <w:rPr>
                <w:rFonts w:ascii="David" w:hAnsi="David" w:hint="cs"/>
                <w:sz w:val="26"/>
                <w:rtl/>
              </w:rPr>
              <w:t>י</w:t>
            </w:r>
            <w:r w:rsidRPr="0010011A">
              <w:rPr>
                <w:rFonts w:ascii="David" w:hAnsi="David"/>
                <w:sz w:val="26"/>
                <w:rtl/>
              </w:rPr>
              <w:t>קראו את חוק שירותי הסעד, התשי"ח</w:t>
            </w:r>
            <w:r>
              <w:rPr>
                <w:rFonts w:ascii="David" w:hAnsi="David" w:hint="cs"/>
                <w:sz w:val="26"/>
                <w:rtl/>
              </w:rPr>
              <w:t>–</w:t>
            </w:r>
            <w:r w:rsidRPr="0010011A">
              <w:rPr>
                <w:rFonts w:ascii="David" w:hAnsi="David"/>
                <w:sz w:val="26"/>
                <w:rtl/>
              </w:rPr>
              <w:t>1958</w:t>
            </w:r>
            <w:r>
              <w:rPr>
                <w:rStyle w:val="a6"/>
                <w:rFonts w:ascii="David" w:hAnsi="David"/>
                <w:sz w:val="26"/>
                <w:rtl/>
              </w:rPr>
              <w:footnoteReference w:id="6"/>
            </w:r>
            <w:r w:rsidRPr="0010011A">
              <w:rPr>
                <w:rFonts w:ascii="David" w:hAnsi="David"/>
                <w:sz w:val="26"/>
                <w:rtl/>
              </w:rPr>
              <w:t xml:space="preserve">, </w:t>
            </w:r>
            <w:r w:rsidR="009B05F6">
              <w:rPr>
                <w:rFonts w:ascii="David" w:hAnsi="David" w:hint="cs"/>
                <w:sz w:val="26"/>
                <w:rtl/>
              </w:rPr>
              <w:t>כך</w:t>
            </w:r>
            <w:r w:rsidR="00FC5E8E">
              <w:rPr>
                <w:rFonts w:ascii="David" w:hAnsi="David" w:hint="cs"/>
                <w:sz w:val="26"/>
                <w:rtl/>
              </w:rPr>
              <w:t xml:space="preserve"> </w:t>
            </w:r>
            <w:r w:rsidR="009B05F6">
              <w:rPr>
                <w:rFonts w:ascii="David" w:hAnsi="David" w:hint="cs"/>
                <w:sz w:val="26"/>
                <w:rtl/>
              </w:rPr>
              <w:t>ש</w:t>
            </w:r>
            <w:r w:rsidR="00FC5E8E">
              <w:rPr>
                <w:rFonts w:ascii="David" w:hAnsi="David" w:hint="cs"/>
                <w:sz w:val="26"/>
                <w:rtl/>
              </w:rPr>
              <w:t>בסעיף 1, בהגדרה "נזקק"</w:t>
            </w:r>
            <w:r w:rsidR="009B05F6">
              <w:rPr>
                <w:rFonts w:ascii="David" w:hAnsi="David" w:hint="cs"/>
                <w:sz w:val="26"/>
                <w:rtl/>
              </w:rPr>
              <w:t>,</w:t>
            </w:r>
            <w:r w:rsidR="00FC5E8E">
              <w:rPr>
                <w:rFonts w:ascii="David" w:hAnsi="David" w:hint="cs"/>
                <w:sz w:val="26"/>
                <w:rtl/>
              </w:rPr>
              <w:t xml:space="preserve"> אחרי "הכל לפי מבחנים שנקבעו בתקנות" יבוא </w:t>
            </w:r>
            <w:r w:rsidR="00FC5E8E" w:rsidRPr="0010011A">
              <w:rPr>
                <w:rFonts w:ascii="David" w:hAnsi="David"/>
                <w:sz w:val="26"/>
                <w:rtl/>
              </w:rPr>
              <w:t xml:space="preserve">"אדם שהתגורר בחבל התקומה, כמשמעותו </w:t>
            </w:r>
            <w:r w:rsidR="00FC5E8E" w:rsidRPr="0028191B">
              <w:rPr>
                <w:rFonts w:ascii="David" w:hAnsi="David"/>
                <w:sz w:val="26"/>
                <w:rtl/>
              </w:rPr>
              <w:t>בחוק ח</w:t>
            </w:r>
            <w:r w:rsidR="00FC5E8E" w:rsidRPr="0028191B">
              <w:rPr>
                <w:rFonts w:ascii="David" w:hAnsi="David" w:hint="cs"/>
                <w:sz w:val="26"/>
                <w:rtl/>
              </w:rPr>
              <w:t>ידוש ופיתוח חבל התקומה</w:t>
            </w:r>
            <w:r w:rsidR="009B05F6">
              <w:rPr>
                <w:rFonts w:ascii="David" w:hAnsi="David" w:hint="cs"/>
                <w:sz w:val="26"/>
                <w:rtl/>
              </w:rPr>
              <w:t xml:space="preserve"> (תיקוני חקיקה) (הוראת שעה)</w:t>
            </w:r>
            <w:r w:rsidR="00FC5E8E" w:rsidRPr="0028191B">
              <w:rPr>
                <w:rFonts w:ascii="David" w:hAnsi="David" w:hint="cs"/>
                <w:sz w:val="26"/>
                <w:rtl/>
              </w:rPr>
              <w:t>, התשפ"</w:t>
            </w:r>
            <w:r w:rsidR="009B05F6">
              <w:rPr>
                <w:rFonts w:ascii="David" w:hAnsi="David" w:hint="cs"/>
                <w:sz w:val="26"/>
                <w:rtl/>
              </w:rPr>
              <w:t>ה</w:t>
            </w:r>
            <w:r w:rsidR="00FC5E8E">
              <w:rPr>
                <w:rFonts w:ascii="David" w:hAnsi="David" w:hint="cs"/>
                <w:sz w:val="26"/>
                <w:rtl/>
              </w:rPr>
              <w:t>–</w:t>
            </w:r>
            <w:r w:rsidR="00FC5E8E" w:rsidRPr="0028191B">
              <w:rPr>
                <w:rFonts w:ascii="David" w:hAnsi="David" w:hint="cs"/>
                <w:sz w:val="26"/>
                <w:rtl/>
              </w:rPr>
              <w:t>2024</w:t>
            </w:r>
            <w:r w:rsidR="00FC5E8E" w:rsidRPr="0028191B">
              <w:rPr>
                <w:rFonts w:ascii="David" w:hAnsi="David"/>
                <w:sz w:val="26"/>
                <w:rtl/>
              </w:rPr>
              <w:t>, ביום</w:t>
            </w:r>
            <w:r w:rsidR="009B05F6">
              <w:rPr>
                <w:rFonts w:ascii="David" w:hAnsi="David" w:hint="cs"/>
                <w:sz w:val="26"/>
                <w:rtl/>
              </w:rPr>
              <w:t xml:space="preserve"> כ"א בתשרי התשפ"ד (</w:t>
            </w:r>
            <w:r w:rsidR="00FC5E8E" w:rsidRPr="0010011A">
              <w:rPr>
                <w:rFonts w:ascii="David" w:hAnsi="David"/>
                <w:sz w:val="26"/>
                <w:rtl/>
              </w:rPr>
              <w:t xml:space="preserve">6 </w:t>
            </w:r>
            <w:r w:rsidR="009B05F6">
              <w:rPr>
                <w:rFonts w:ascii="David" w:hAnsi="David" w:hint="cs"/>
                <w:sz w:val="26"/>
                <w:rtl/>
              </w:rPr>
              <w:t>ב</w:t>
            </w:r>
            <w:r w:rsidR="00FC5E8E" w:rsidRPr="0010011A">
              <w:rPr>
                <w:rFonts w:ascii="David" w:hAnsi="David"/>
                <w:sz w:val="26"/>
                <w:rtl/>
              </w:rPr>
              <w:t>אוקטובר 2023</w:t>
            </w:r>
            <w:r w:rsidR="009B05F6">
              <w:rPr>
                <w:rFonts w:ascii="David" w:hAnsi="David" w:hint="cs"/>
                <w:sz w:val="26"/>
                <w:rtl/>
              </w:rPr>
              <w:t>)</w:t>
            </w:r>
            <w:r w:rsidR="00FC5E8E" w:rsidRPr="0010011A">
              <w:rPr>
                <w:rFonts w:ascii="David" w:hAnsi="David"/>
                <w:sz w:val="26"/>
                <w:rtl/>
              </w:rPr>
              <w:t>".</w:t>
            </w:r>
          </w:p>
        </w:tc>
      </w:tr>
      <w:tr w:rsidR="00B75481" w14:paraId="3BF11FA7" w14:textId="77777777" w:rsidTr="00DC4164">
        <w:trPr>
          <w:cantSplit/>
          <w:trHeight w:val="60"/>
        </w:trPr>
        <w:tc>
          <w:tcPr>
            <w:tcW w:w="1871" w:type="dxa"/>
          </w:tcPr>
          <w:p w14:paraId="21CACAB1" w14:textId="77777777" w:rsidR="00B75481" w:rsidRDefault="00B75481" w:rsidP="00DC4164">
            <w:pPr>
              <w:pStyle w:val="TableSideHeading"/>
            </w:pPr>
            <w:r w:rsidRPr="00D73854">
              <w:rPr>
                <w:rFonts w:ascii="David" w:hAnsi="David"/>
                <w:sz w:val="26"/>
                <w:rtl/>
              </w:rPr>
              <w:t>הוראות מעבר</w:t>
            </w:r>
          </w:p>
        </w:tc>
        <w:tc>
          <w:tcPr>
            <w:tcW w:w="624" w:type="dxa"/>
          </w:tcPr>
          <w:p w14:paraId="7BCEABF5" w14:textId="7FADE634" w:rsidR="00B75481" w:rsidRDefault="00F526CB" w:rsidP="00DC4164">
            <w:pPr>
              <w:pStyle w:val="TableText"/>
            </w:pPr>
            <w:r>
              <w:rPr>
                <w:rFonts w:hint="cs"/>
                <w:rtl/>
              </w:rPr>
              <w:t>5</w:t>
            </w:r>
            <w:r w:rsidR="00B75481">
              <w:rPr>
                <w:rFonts w:hint="cs"/>
                <w:rtl/>
              </w:rPr>
              <w:t>.</w:t>
            </w:r>
          </w:p>
        </w:tc>
        <w:tc>
          <w:tcPr>
            <w:tcW w:w="7146" w:type="dxa"/>
            <w:gridSpan w:val="2"/>
          </w:tcPr>
          <w:p w14:paraId="42A7D708" w14:textId="3B19F4E6" w:rsidR="00B75481" w:rsidRPr="00C34DE2" w:rsidRDefault="00B75481" w:rsidP="00DC4164">
            <w:pPr>
              <w:pStyle w:val="TableBlock"/>
            </w:pPr>
            <w:r>
              <w:rPr>
                <w:rFonts w:ascii="David" w:hAnsi="David"/>
                <w:sz w:val="26"/>
                <w:rtl/>
              </w:rPr>
              <w:t>(א)</w:t>
            </w:r>
            <w:r>
              <w:rPr>
                <w:rFonts w:ascii="David" w:hAnsi="David"/>
                <w:sz w:val="26"/>
                <w:rtl/>
              </w:rPr>
              <w:tab/>
            </w:r>
            <w:r w:rsidRPr="00D73854">
              <w:rPr>
                <w:rFonts w:ascii="David" w:hAnsi="David"/>
                <w:sz w:val="26"/>
                <w:rtl/>
              </w:rPr>
              <w:t>החל מוסד תכנון לדון בת</w:t>
            </w:r>
            <w:r w:rsidR="009B05F6">
              <w:rPr>
                <w:rFonts w:ascii="David" w:hAnsi="David" w:hint="cs"/>
                <w:sz w:val="26"/>
                <w:rtl/>
              </w:rPr>
              <w:t>ו</w:t>
            </w:r>
            <w:r w:rsidRPr="00D73854">
              <w:rPr>
                <w:rFonts w:ascii="David" w:hAnsi="David"/>
                <w:sz w:val="26"/>
                <w:rtl/>
              </w:rPr>
              <w:t xml:space="preserve">כנית לפני תחילתו של חוק זה, ובטרם השלים את הדיון בה עברה הסמכות לגבי אותה </w:t>
            </w:r>
            <w:r w:rsidR="009B05F6">
              <w:rPr>
                <w:rFonts w:ascii="David" w:hAnsi="David"/>
                <w:sz w:val="26"/>
                <w:rtl/>
              </w:rPr>
              <w:t>תוכנית</w:t>
            </w:r>
            <w:r w:rsidRPr="00D73854">
              <w:rPr>
                <w:rFonts w:ascii="David" w:hAnsi="David"/>
                <w:sz w:val="26"/>
                <w:rtl/>
              </w:rPr>
              <w:t xml:space="preserve"> לפי הוראות חוק זה, למוסד תכנון אחר, יעביר מוסד התכנון את הדיון למוסד התכנון האחר, ואולם אם הופקדה ה</w:t>
            </w:r>
            <w:r w:rsidR="009B05F6">
              <w:rPr>
                <w:rFonts w:ascii="David" w:hAnsi="David"/>
                <w:sz w:val="26"/>
                <w:rtl/>
              </w:rPr>
              <w:t>תוכנית</w:t>
            </w:r>
            <w:r w:rsidRPr="00D73854">
              <w:rPr>
                <w:rFonts w:ascii="David" w:hAnsi="David"/>
                <w:sz w:val="26"/>
                <w:rtl/>
              </w:rPr>
              <w:t xml:space="preserve"> לפני שעברה הסמכות למוסד התכנון האחר, תהיה נתונה לו הסמכות להמשיך ולדון ב</w:t>
            </w:r>
            <w:r w:rsidR="009B05F6">
              <w:rPr>
                <w:rFonts w:ascii="David" w:hAnsi="David"/>
                <w:sz w:val="26"/>
                <w:rtl/>
              </w:rPr>
              <w:t>תוכנית</w:t>
            </w:r>
            <w:r w:rsidRPr="00D73854">
              <w:rPr>
                <w:rFonts w:ascii="David" w:hAnsi="David"/>
                <w:sz w:val="26"/>
                <w:rtl/>
              </w:rPr>
              <w:t>.</w:t>
            </w:r>
          </w:p>
        </w:tc>
      </w:tr>
      <w:tr w:rsidR="00B75481" w:rsidRPr="00D73854" w14:paraId="0AB8BEC9" w14:textId="77777777" w:rsidTr="00DC4164">
        <w:trPr>
          <w:cantSplit/>
          <w:trHeight w:val="60"/>
        </w:trPr>
        <w:tc>
          <w:tcPr>
            <w:tcW w:w="1871" w:type="dxa"/>
          </w:tcPr>
          <w:p w14:paraId="2C582A07" w14:textId="77777777" w:rsidR="00B75481" w:rsidRPr="00D73854" w:rsidRDefault="00B75481" w:rsidP="00DC4164">
            <w:pPr>
              <w:pStyle w:val="TableSideHeading"/>
              <w:keepLines w:val="0"/>
              <w:rPr>
                <w:rFonts w:ascii="David" w:hAnsi="David"/>
                <w:sz w:val="26"/>
                <w:rtl/>
              </w:rPr>
            </w:pPr>
          </w:p>
        </w:tc>
        <w:tc>
          <w:tcPr>
            <w:tcW w:w="624" w:type="dxa"/>
          </w:tcPr>
          <w:p w14:paraId="4D5118A6" w14:textId="77777777" w:rsidR="00B75481" w:rsidRPr="00D73854" w:rsidRDefault="00B75481" w:rsidP="00DC4164">
            <w:pPr>
              <w:pStyle w:val="af0"/>
              <w:numPr>
                <w:ilvl w:val="0"/>
                <w:numId w:val="0"/>
              </w:numPr>
              <w:ind w:left="340" w:firstLine="340"/>
              <w:rPr>
                <w:rFonts w:cs="David"/>
                <w:sz w:val="26"/>
                <w:szCs w:val="26"/>
              </w:rPr>
            </w:pPr>
          </w:p>
        </w:tc>
        <w:tc>
          <w:tcPr>
            <w:tcW w:w="7146" w:type="dxa"/>
            <w:gridSpan w:val="2"/>
          </w:tcPr>
          <w:p w14:paraId="3B2B646F" w14:textId="2BEDDC2D" w:rsidR="00B75481" w:rsidRPr="00D73854" w:rsidRDefault="00B75481" w:rsidP="00DC4164">
            <w:pPr>
              <w:spacing w:line="360" w:lineRule="auto"/>
              <w:ind w:firstLine="0"/>
              <w:rPr>
                <w:rFonts w:ascii="David" w:hAnsi="David" w:cs="David"/>
                <w:sz w:val="26"/>
                <w:szCs w:val="26"/>
                <w:rtl/>
              </w:rPr>
            </w:pPr>
            <w:r>
              <w:rPr>
                <w:rFonts w:ascii="David" w:hAnsi="David" w:cs="David"/>
                <w:sz w:val="26"/>
                <w:szCs w:val="26"/>
                <w:rtl/>
              </w:rPr>
              <w:t>(ב)</w:t>
            </w:r>
            <w:r>
              <w:rPr>
                <w:rFonts w:ascii="David" w:hAnsi="David" w:cs="David"/>
                <w:sz w:val="26"/>
                <w:szCs w:val="26"/>
                <w:rtl/>
              </w:rPr>
              <w:tab/>
            </w:r>
            <w:r w:rsidRPr="00D73854">
              <w:rPr>
                <w:rFonts w:ascii="David" w:hAnsi="David" w:cs="David"/>
                <w:sz w:val="26"/>
                <w:szCs w:val="26"/>
                <w:rtl/>
              </w:rPr>
              <w:t xml:space="preserve">החליט מוסד תכנון להפקיד </w:t>
            </w:r>
            <w:r w:rsidR="009B05F6">
              <w:rPr>
                <w:rFonts w:ascii="David" w:hAnsi="David" w:cs="David"/>
                <w:sz w:val="26"/>
                <w:szCs w:val="26"/>
                <w:rtl/>
              </w:rPr>
              <w:t>תוכנית</w:t>
            </w:r>
            <w:r w:rsidRPr="00D73854">
              <w:rPr>
                <w:rFonts w:ascii="David" w:hAnsi="David" w:cs="David"/>
                <w:sz w:val="26"/>
                <w:szCs w:val="26"/>
                <w:rtl/>
              </w:rPr>
              <w:t xml:space="preserve"> לפי הוראות חוק זה, בתוך תקופת הוראת השעה, תמשיך ותהיה נתונה לו הסמכות לדון באותה </w:t>
            </w:r>
            <w:r w:rsidR="009B05F6">
              <w:rPr>
                <w:rFonts w:ascii="David" w:hAnsi="David" w:cs="David"/>
                <w:sz w:val="26"/>
                <w:szCs w:val="26"/>
                <w:rtl/>
              </w:rPr>
              <w:t>תוכנית</w:t>
            </w:r>
            <w:r w:rsidRPr="00D73854">
              <w:rPr>
                <w:rFonts w:ascii="David" w:hAnsi="David" w:cs="David"/>
                <w:sz w:val="26"/>
                <w:szCs w:val="26"/>
                <w:rtl/>
              </w:rPr>
              <w:t>, לאשרה או לדחות גם לאחר תום תקופת הוראת השעה</w:t>
            </w:r>
            <w:r w:rsidRPr="00D73854">
              <w:rPr>
                <w:rFonts w:ascii="David" w:hAnsi="David" w:cs="David"/>
                <w:sz w:val="26"/>
                <w:szCs w:val="26"/>
              </w:rPr>
              <w:t>.</w:t>
            </w:r>
            <w:r w:rsidRPr="00D73854" w:rsidDel="007743F1">
              <w:rPr>
                <w:rFonts w:ascii="David" w:hAnsi="David" w:cs="David"/>
                <w:sz w:val="26"/>
                <w:szCs w:val="26"/>
                <w:rtl/>
              </w:rPr>
              <w:t xml:space="preserve"> </w:t>
            </w:r>
          </w:p>
        </w:tc>
      </w:tr>
      <w:tr w:rsidR="00B75481" w:rsidRPr="00D73854" w14:paraId="4576D940" w14:textId="77777777" w:rsidTr="00DC4164">
        <w:trPr>
          <w:cantSplit/>
          <w:trHeight w:val="60"/>
        </w:trPr>
        <w:tc>
          <w:tcPr>
            <w:tcW w:w="1871" w:type="dxa"/>
          </w:tcPr>
          <w:p w14:paraId="6C7BCAEE" w14:textId="77777777" w:rsidR="00B75481" w:rsidRPr="00D73854" w:rsidRDefault="00B75481" w:rsidP="00DC4164">
            <w:pPr>
              <w:pStyle w:val="TableSideHeading"/>
              <w:keepLines w:val="0"/>
              <w:rPr>
                <w:rFonts w:ascii="David" w:hAnsi="David"/>
                <w:sz w:val="26"/>
                <w:rtl/>
              </w:rPr>
            </w:pPr>
          </w:p>
        </w:tc>
        <w:tc>
          <w:tcPr>
            <w:tcW w:w="624" w:type="dxa"/>
          </w:tcPr>
          <w:p w14:paraId="64250937" w14:textId="77777777" w:rsidR="00B75481" w:rsidRPr="00D73854" w:rsidRDefault="00B75481" w:rsidP="00DC4164">
            <w:pPr>
              <w:pStyle w:val="TableText"/>
            </w:pPr>
          </w:p>
        </w:tc>
        <w:tc>
          <w:tcPr>
            <w:tcW w:w="7146" w:type="dxa"/>
            <w:gridSpan w:val="2"/>
          </w:tcPr>
          <w:p w14:paraId="7BDF6D73" w14:textId="77777777" w:rsidR="00B75481" w:rsidRDefault="00B75481" w:rsidP="00DC4164">
            <w:pPr>
              <w:spacing w:line="360" w:lineRule="auto"/>
              <w:ind w:firstLine="0"/>
              <w:rPr>
                <w:rFonts w:ascii="David" w:hAnsi="David" w:cs="David"/>
                <w:sz w:val="26"/>
                <w:szCs w:val="26"/>
                <w:rtl/>
              </w:rPr>
            </w:pPr>
            <w:r>
              <w:rPr>
                <w:rFonts w:ascii="David" w:hAnsi="David" w:cs="David"/>
                <w:sz w:val="26"/>
                <w:szCs w:val="26"/>
                <w:rtl/>
              </w:rPr>
              <w:t>(ג)</w:t>
            </w:r>
            <w:r>
              <w:rPr>
                <w:rFonts w:ascii="David" w:hAnsi="David" w:cs="David"/>
                <w:sz w:val="26"/>
                <w:szCs w:val="26"/>
                <w:rtl/>
              </w:rPr>
              <w:tab/>
            </w:r>
            <w:r w:rsidRPr="00D73854">
              <w:rPr>
                <w:rFonts w:ascii="David" w:hAnsi="David" w:cs="David"/>
                <w:sz w:val="26"/>
                <w:szCs w:val="26"/>
                <w:rtl/>
              </w:rPr>
              <w:t>הוגשה בקשה להיתר, לפי הוראות חוק זה, בתוך תקופת הוראת השעה, ימשיכו לחול הוראות חוק זה לגבי אותה בקשה להיתר, גם לאחר תום תקופת הוראת השעה</w:t>
            </w:r>
            <w:r w:rsidRPr="00D73854">
              <w:rPr>
                <w:rFonts w:ascii="David" w:hAnsi="David" w:cs="David"/>
                <w:sz w:val="26"/>
                <w:szCs w:val="26"/>
              </w:rPr>
              <w:t>.</w:t>
            </w:r>
          </w:p>
        </w:tc>
      </w:tr>
    </w:tbl>
    <w:p w14:paraId="7B794B7B" w14:textId="77777777" w:rsidR="00B75481" w:rsidRPr="00D73854" w:rsidRDefault="00B75481" w:rsidP="00B75481">
      <w:pPr>
        <w:pStyle w:val="HeadDivreiHesber"/>
        <w:rPr>
          <w:rFonts w:ascii="David" w:hAnsi="David"/>
          <w:sz w:val="26"/>
          <w:rtl/>
        </w:rPr>
      </w:pPr>
      <w:r w:rsidRPr="00D73854">
        <w:rPr>
          <w:rFonts w:ascii="David" w:hAnsi="David"/>
          <w:sz w:val="26"/>
          <w:rtl/>
        </w:rPr>
        <w:t>דברי הסבר</w:t>
      </w:r>
    </w:p>
    <w:p w14:paraId="7751A8B6" w14:textId="66FA3725" w:rsidR="00B75481" w:rsidRPr="00FC5E8E" w:rsidRDefault="00B75481" w:rsidP="009B05F6">
      <w:pPr>
        <w:pStyle w:val="Hesber"/>
        <w:spacing w:line="276" w:lineRule="auto"/>
        <w:rPr>
          <w:rtl/>
        </w:rPr>
      </w:pPr>
      <w:r w:rsidRPr="00FC5E8E">
        <w:rPr>
          <w:rtl/>
        </w:rPr>
        <w:t>למול מתקפת הטרור הרצחנית שאיר</w:t>
      </w:r>
      <w:r w:rsidR="00FC5E8E" w:rsidRPr="00FC5E8E">
        <w:rPr>
          <w:rtl/>
        </w:rPr>
        <w:t>עה ב</w:t>
      </w:r>
      <w:r w:rsidR="00FC5E8E" w:rsidRPr="00FC5E8E">
        <w:rPr>
          <w:rFonts w:hint="cs"/>
          <w:rtl/>
        </w:rPr>
        <w:t>כ"ב בתשרי התשפ"ד</w:t>
      </w:r>
      <w:r w:rsidRPr="00FC5E8E">
        <w:rPr>
          <w:rtl/>
        </w:rPr>
        <w:t xml:space="preserve"> </w:t>
      </w:r>
      <w:r w:rsidR="00FC5E8E" w:rsidRPr="00FC5E8E">
        <w:rPr>
          <w:rFonts w:hint="cs"/>
          <w:rtl/>
        </w:rPr>
        <w:t>(</w:t>
      </w:r>
      <w:r w:rsidRPr="00FC5E8E">
        <w:rPr>
          <w:rtl/>
        </w:rPr>
        <w:t>7 באוקטובר 2023</w:t>
      </w:r>
      <w:r w:rsidR="00FC5E8E" w:rsidRPr="00FC5E8E">
        <w:rPr>
          <w:rFonts w:hint="cs"/>
          <w:rtl/>
        </w:rPr>
        <w:t>)</w:t>
      </w:r>
      <w:r w:rsidRPr="00FC5E8E">
        <w:rPr>
          <w:rtl/>
        </w:rPr>
        <w:t>, ניצבת אמירה ברורה בדבר החשיבות המכרעת והאינטרס הלאומי שרואה המדינה – הן באמצעות מנהלת תקומה והן באמצעות משרדי הממשלה בתחומי פעילותם – בשיקום, חידוש ופיתוח חבל התקומה באופן מואץ ומתן מענה לתושביו.</w:t>
      </w:r>
    </w:p>
    <w:p w14:paraId="12C25837" w14:textId="1D61D67A" w:rsidR="00B75481" w:rsidRPr="009B00C8" w:rsidRDefault="00B75481" w:rsidP="009B05F6">
      <w:pPr>
        <w:pStyle w:val="Hesber"/>
        <w:spacing w:line="276" w:lineRule="auto"/>
      </w:pPr>
      <w:r w:rsidRPr="009B00C8">
        <w:rPr>
          <w:rtl/>
        </w:rPr>
        <w:t xml:space="preserve">רווחה: לסעיף 1 בחוק </w:t>
      </w:r>
      <w:r w:rsidR="00FC5E8E">
        <w:rPr>
          <w:rtl/>
        </w:rPr>
        <w:t>–</w:t>
      </w:r>
      <w:r w:rsidRPr="009B00C8">
        <w:rPr>
          <w:rtl/>
        </w:rPr>
        <w:t xml:space="preserve"> תכליתם של שירותי הרווחה התומכים בפרט במשפחה ובקהילה היא לתת מענה שעיקרו טיפול בבעיות אישיות וחברתיות לצד פיתוח חוסן חברתי ועוצמה אישית ומשפחתית להתמודדות עם אתגרים מתחומי חיים מגוונים מגיל הילדות ועד גיל הזקנה.</w:t>
      </w:r>
    </w:p>
    <w:p w14:paraId="44BEE077" w14:textId="77777777" w:rsidR="00B75481" w:rsidRPr="009B00C8" w:rsidRDefault="00B75481" w:rsidP="009B05F6">
      <w:pPr>
        <w:pStyle w:val="Hesber"/>
        <w:spacing w:line="276" w:lineRule="auto"/>
        <w:rPr>
          <w:rtl/>
        </w:rPr>
      </w:pPr>
      <w:r w:rsidRPr="009B00C8">
        <w:rPr>
          <w:rtl/>
        </w:rPr>
        <w:t xml:space="preserve">האנשים והקהילות ברשויות חבל התקומה נפגעו ממתקפת הטרור הרצחנית באופן המחייב מתן מענה בממדים שונים הנוגעים לטיפול בטראומה האישית והקולקטיבית, התמודדות עם שכול, חיזוק החוסן הכלכלי והחברתי, היכולת למצות זכויות ודאגה לשלומות הפרט והמשפחה. בנוסף יש לוודא כי הרשויות בחבל יוכלו להמשיך ולספק שירותים באמצעות עובדות ועובדים סוציאליים וכן על סמך תקציב ראוי המאפשר אספקת שירותים תקינה תוך בחינת צרכי ההווה וגם צרכי העתיד. היכולת להניע מהלך שיקום פיזי, כלכלי וחברתי תלויה ביסודות של הפרטים, המשפחות והקהילות להתמודד ולהתחזק כחלק מתהליך של תיקון וצמיחה. משרד הרווחה והביטחון החברתי והמחלקות לשירותים חברתיים הפועלות מטעמו בשותפות עם הרשויות ערוכים לתמוך בתהליך הקימום של הנגב המערבי ולהפכו לחבל </w:t>
      </w:r>
      <w:r w:rsidRPr="009B00C8">
        <w:rPr>
          <w:rtl/>
        </w:rPr>
        <w:lastRenderedPageBreak/>
        <w:t>הארץ שיהווה דוגמא ומופת לחברה חסונה, ובריאה שתמשוך אליה משפחות מכל רחבי הארץ ומכל גווני החברה הישראלית. בהמשך לכך מוצע לקבוע כי אדם שהיה תושב חבל התקומה במועד מתקפת הטרור הרצחנית בשביעי באוקטובר 2023, יחשב כמי ששייך לקטגוריה של אנשים שזכאים לטיפול סוציאלי מכוח חוק שירותי הסעד התשי"ח 1958, וזאת לאחר הערכת צרכיו של האדם על ידי מנהל המחלקה לשירותים חברתיים ברשות המקומית בה מתגורר, או מי מטעמו ובהתאם לתוכנית ההתערבות שנקבעה לגביו. הסדר מוצע זה יאפשר מחד הנגשה של שירותי הרווחה לציבור הרחב שנפגע ומאידך יאפשר למנהלי המחלקות לשירותים חברתיים ברשויות גמישות בהתאמת המענים לצרכיהם ומאפייניהם של אותו ציבור. יובהר כי אין בהרחבת ההגדרה "נזקק" לכל אדם שהתגורר בחבל התקומה כמשמעותו בחוק כדי לשנות את ההסדרים הקיימים הקבועים בתקנון העבודה הסוציאלית (תע"ס) בהיבט השתתפות עצמית, וכללי ההתחשבנות הנהוגים בין משרד הרווחה לרשויות המקומיות. מוצע לקבוע הוראה זו כהוראת שעה עד ליום 31.12.2028.</w:t>
      </w:r>
    </w:p>
    <w:p w14:paraId="69B60EB1" w14:textId="6DAB745B" w:rsidR="00B75481" w:rsidRPr="009B00C8" w:rsidRDefault="00B75481" w:rsidP="009B05F6">
      <w:pPr>
        <w:pStyle w:val="Hesber"/>
        <w:spacing w:line="276" w:lineRule="auto"/>
        <w:rPr>
          <w:rtl/>
        </w:rPr>
      </w:pPr>
      <w:r w:rsidRPr="009B00C8">
        <w:rPr>
          <w:rtl/>
        </w:rPr>
        <w:t xml:space="preserve">כלכלה ועסקים, לסעיף 2 </w:t>
      </w:r>
      <w:r w:rsidR="00FC5E8E">
        <w:rPr>
          <w:rtl/>
        </w:rPr>
        <w:t>–</w:t>
      </w:r>
      <w:r w:rsidRPr="009B00C8">
        <w:rPr>
          <w:rtl/>
        </w:rPr>
        <w:t xml:space="preserve"> לפי סעיף 40ג(ג) לחוק עידוד השקעות, ניתן מענק השקע</w:t>
      </w:r>
      <w:r w:rsidR="00FC5E8E">
        <w:rPr>
          <w:rtl/>
        </w:rPr>
        <w:t>ה מוגדל למפעלים בחבל התקומה, ב-</w:t>
      </w:r>
      <w:r w:rsidRPr="009B00C8">
        <w:rPr>
          <w:rtl/>
        </w:rPr>
        <w:t>"שדרות וביישובי עוטף עזה, שהם היישובים במועצות האזוריות שער הנגב, חוף אשקלון</w:t>
      </w:r>
      <w:r w:rsidRPr="009B00C8">
        <w:t>,</w:t>
      </w:r>
      <w:r w:rsidRPr="009B00C8">
        <w:rPr>
          <w:rtl/>
        </w:rPr>
        <w:t xml:space="preserve"> שדות נגב ואשכול, אשר בתיהם, כולם או חלקם, שוכנים עד 7 ק"מ מגדר המערכת המקיפה את רצועת עזה וכן אזור תעשייה מרחבי שמבניו, כולם או חלקם, שוכנים עד 7 ק"מ מהגדר האמורה". במטרה לאפשר הגדלה נוספת במענקי ההשקעה לצורך שיקום מהיר של החבל, מוצע להסמיך בהוראת שעה את שר הכלכלה לקבוע שיעורי השתתפות גבוהים יותר למפעלים קיימים, או למפעלים חדשים שהוקמו או שהעתיקו את פעילותם לחבל התקומה.</w:t>
      </w:r>
      <w:r>
        <w:rPr>
          <w:rFonts w:hint="cs"/>
          <w:rtl/>
        </w:rPr>
        <w:t xml:space="preserve"> </w:t>
      </w:r>
      <w:r w:rsidRPr="009B00C8">
        <w:rPr>
          <w:rtl/>
        </w:rPr>
        <w:t>מוצע לקבוע הוראה זו כהוראת שעה עד ליום 31.12.2028.</w:t>
      </w:r>
    </w:p>
    <w:p w14:paraId="085E97DC" w14:textId="1C04DF2A" w:rsidR="00B75481" w:rsidRPr="009B00C8" w:rsidRDefault="00B75481" w:rsidP="009B05F6">
      <w:pPr>
        <w:pStyle w:val="Hesber"/>
        <w:spacing w:line="276" w:lineRule="auto"/>
        <w:rPr>
          <w:rtl/>
        </w:rPr>
      </w:pPr>
      <w:r w:rsidRPr="009B00C8">
        <w:rPr>
          <w:rtl/>
        </w:rPr>
        <w:t xml:space="preserve">חקלאות, לסעיף 3 </w:t>
      </w:r>
      <w:r w:rsidR="00FC5E8E">
        <w:rPr>
          <w:rtl/>
        </w:rPr>
        <w:t>–</w:t>
      </w:r>
      <w:r w:rsidRPr="009B00C8">
        <w:rPr>
          <w:rtl/>
        </w:rPr>
        <w:t xml:space="preserve"> </w:t>
      </w:r>
      <w:bookmarkStart w:id="8" w:name="_Hlk180340656"/>
      <w:r w:rsidRPr="009B00C8">
        <w:rPr>
          <w:rtl/>
        </w:rPr>
        <w:t>אמצעי נוסף לעידוד העיסוק בחקלאות והקלה על מעסיקים של עובדים זרים בתחום החקלאות בחבל, היא הארכת רישיון לישיבת ביקור לעובדים זרים המועסקים בחבל התקומה. בסעיף זה מוצע לתקן את חוק הכניסה לישראל באופן שיקנה לשר הפנים סמכות להאריך את רישיון ישיבת הביקור של עובד זר המועסק בשטחים חקלאיים בשטח התקומה  למטרה האמורה. מוצע לקבוע הוראה זו כהוראת שעה עד ליום 31.12.2028.</w:t>
      </w:r>
    </w:p>
    <w:p w14:paraId="2FF49A8E" w14:textId="2455D6E4" w:rsidR="00B75481" w:rsidRPr="009B00C8" w:rsidRDefault="00B75481" w:rsidP="009B05F6">
      <w:pPr>
        <w:pStyle w:val="Hesber"/>
        <w:spacing w:line="276" w:lineRule="auto"/>
      </w:pPr>
      <w:r w:rsidRPr="009B00C8">
        <w:rPr>
          <w:rtl/>
        </w:rPr>
        <w:t xml:space="preserve">תרבות וספורט, סעיף 4 </w:t>
      </w:r>
      <w:r w:rsidR="00FC5E8E">
        <w:rPr>
          <w:rtl/>
        </w:rPr>
        <w:t>–</w:t>
      </w:r>
      <w:r w:rsidRPr="009B00C8">
        <w:rPr>
          <w:rtl/>
        </w:rPr>
        <w:t xml:space="preserve"> </w:t>
      </w:r>
      <w:bookmarkStart w:id="9" w:name="_Hlk180341117"/>
      <w:r w:rsidRPr="009B00C8">
        <w:rPr>
          <w:rtl/>
        </w:rPr>
        <w:t xml:space="preserve">חיזוק התרבות והספורט שמהווים מרכיב חיוני ברווחה הנפשית, יאפשר חיזוק החוסן הנפשי לקהילת העוטף ויהווה כלי מרכזי בהתמודדות עם האסון שהכה תושבי העוטף. </w:t>
      </w:r>
    </w:p>
    <w:p w14:paraId="55DA05F0" w14:textId="73DACF91" w:rsidR="00B75481" w:rsidRPr="009B00C8" w:rsidRDefault="00B75481" w:rsidP="009B05F6">
      <w:pPr>
        <w:pStyle w:val="Hesber"/>
        <w:spacing w:line="276" w:lineRule="auto"/>
        <w:rPr>
          <w:rtl/>
        </w:rPr>
      </w:pPr>
      <w:r w:rsidRPr="009B00C8">
        <w:rPr>
          <w:rtl/>
        </w:rPr>
        <w:t>חוק הספורט, תמש"ח</w:t>
      </w:r>
      <w:r w:rsidR="00FC5E8E">
        <w:rPr>
          <w:rtl/>
        </w:rPr>
        <w:t>–</w:t>
      </w:r>
      <w:r w:rsidRPr="009B00C8">
        <w:rPr>
          <w:rtl/>
        </w:rPr>
        <w:t xml:space="preserve">1988,קובע בסעיף 17יד כי שר האוצר ושר התרבות והספורט, לאחר התייעצות עם השרים הממונים על משרדי הממשלה המקצים משאבים להקמה ושדרוג מתקני ספורט יקבעו </w:t>
      </w:r>
      <w:r w:rsidR="009B05F6">
        <w:rPr>
          <w:rtl/>
        </w:rPr>
        <w:t>תוכנית</w:t>
      </w:r>
      <w:r w:rsidRPr="009B00C8">
        <w:rPr>
          <w:rtl/>
        </w:rPr>
        <w:t xml:space="preserve"> מתקנים לאומית ויפרסמו אותה ברשומות. </w:t>
      </w:r>
      <w:r w:rsidR="009B05F6">
        <w:rPr>
          <w:rtl/>
        </w:rPr>
        <w:t>תוכנית</w:t>
      </w:r>
      <w:r w:rsidRPr="009B00C8">
        <w:rPr>
          <w:rtl/>
        </w:rPr>
        <w:t xml:space="preserve"> המתקנים, שכאמור מקורה בחוק הספורט, היא </w:t>
      </w:r>
      <w:r w:rsidR="009B05F6">
        <w:rPr>
          <w:rtl/>
        </w:rPr>
        <w:t>תוכנית</w:t>
      </w:r>
      <w:r w:rsidRPr="009B00C8">
        <w:rPr>
          <w:rtl/>
        </w:rPr>
        <w:t xml:space="preserve"> ארוכת טווח, הקובעת סדרי פעולה ברורים בהיבטים רבים, כמו למשל: סוגי המתקנים הנדרשים, התשתיות הדורשות פיתוח, צורכי הפיתוח של הספורט בישראל, סוגי הגופים הזכאים להקצאת הכספים, לוחות הזמנים לביצוע ההקמה או השדרוג. כדי להביא לשיקום מואץ של חבל התקומה, מוצע לקבוע כי השרים ייקבעו תוכנית עבודה ייעודית ומותאמת לעוטף בכל הנוגע להקמת מתקנים, שיפוצם ושדרוגם. בשל החשיבות בחיזוק התרבות והספורט כחלק משיקום וחיזוק החוסן הנפשי כאמור, מוצע כי התוכנית הייעודית המוצעת תשמש לא רק ליישובי העוטף עצמם, אלא גם למתחמים הזמניים בהם שוהים המפונים עד לשובם ליישובים. זאת, במטרה לבחון אפשרות להקים מתקני ספורט זמניים ויבילים גם ביישובים הארעיים. מוצע לקבוע הוראה זו כהוראת שעה עד ליום 31.12.2028.</w:t>
      </w:r>
    </w:p>
    <w:p w14:paraId="2822A58D" w14:textId="7E99F73F" w:rsidR="00B75481" w:rsidRDefault="00B75481" w:rsidP="009B05F6">
      <w:pPr>
        <w:pStyle w:val="Hesber"/>
        <w:spacing w:line="276" w:lineRule="auto"/>
        <w:rPr>
          <w:rtl/>
        </w:rPr>
      </w:pPr>
      <w:r w:rsidRPr="009B00C8">
        <w:rPr>
          <w:rtl/>
        </w:rPr>
        <w:t xml:space="preserve">תכנון ובנייה, סעיף 5-6 </w:t>
      </w:r>
      <w:r w:rsidR="00FC5E8E">
        <w:rPr>
          <w:rtl/>
        </w:rPr>
        <w:t>–</w:t>
      </w:r>
      <w:r w:rsidRPr="009B00C8">
        <w:rPr>
          <w:rtl/>
        </w:rPr>
        <w:t xml:space="preserve"> בסעיף זה מוצע לקבוע מספר כללים בנוגע להליכי רישוי שבסמכות הוועדה או רשות הרישוי האזורית. מוצע לקבוע כי על אף האמור בסעיף 145א ובתקנות שנקבעו לפיו, לא תידרש הסכמת רשות מקרקעי ישראל, לגבי בקשה להיתר שהוגשה לוועדה או לרשות הרישוי האזורית, לפי העניין.</w:t>
      </w:r>
    </w:p>
    <w:p w14:paraId="5435D223" w14:textId="65A3F4C8" w:rsidR="00B75481" w:rsidRPr="009B00C8" w:rsidRDefault="00B75481" w:rsidP="009B05F6">
      <w:pPr>
        <w:pStyle w:val="Hesber"/>
        <w:spacing w:line="276" w:lineRule="auto"/>
        <w:rPr>
          <w:rtl/>
        </w:rPr>
      </w:pPr>
      <w:r w:rsidRPr="009B00C8">
        <w:rPr>
          <w:rtl/>
        </w:rPr>
        <w:t>כמו כן מוצע לקבוע, כי לעניין בקשה להיתר שבסמכות הוועדה או רשות הרישוי האזורית לפי סימן זה, יהיו נתונות לרשות הרישוי האזורית, כל הסמכויות הנתונות לרש</w:t>
      </w:r>
      <w:r w:rsidR="00FC5E8E">
        <w:rPr>
          <w:rtl/>
        </w:rPr>
        <w:t>ות הרישוי המקומית לפי פרקים ה'-</w:t>
      </w:r>
      <w:r w:rsidRPr="009B00C8">
        <w:rPr>
          <w:rtl/>
        </w:rPr>
        <w:t xml:space="preserve">ה4, ובכלל זה הסמכות לשלוח למבקש ההיתר את פירוט החיובים כמשמעותם בסעיף 145(ד)(1) ולגבותם. לעניין הסכומים שנגבו, מוצע לקבוע כי הם יועברו במלואם למי שנקבע לפי כל דין,  למעט לעניין האגרה למתן ההיתר שנקבעה לפי סעיף 265(17), שתישאר בידי הוועדה (שכן אגרה זו משולמת בעיקרה בעבור הטיפול בבקשה להיתר). לעניין סכומי היטל השבחה, מוצע לקבוע כי סכומים אלה יועברו לרשות המקומית שבתחומה המקרקעין שבשלם נגבה ההיטל (יובהר כי ככל ומדובר בשטח שאינו בתחום </w:t>
      </w:r>
      <w:r w:rsidRPr="009B00C8">
        <w:rPr>
          <w:rtl/>
        </w:rPr>
        <w:lastRenderedPageBreak/>
        <w:t>רשות מקומית, יישארו סכומים אלה בקופת הוועדה).</w:t>
      </w:r>
    </w:p>
    <w:p w14:paraId="2FCB603B" w14:textId="77777777" w:rsidR="00B75481" w:rsidRPr="009B00C8" w:rsidRDefault="00B75481" w:rsidP="009B05F6">
      <w:pPr>
        <w:pStyle w:val="Hesber"/>
        <w:spacing w:line="276" w:lineRule="auto"/>
        <w:rPr>
          <w:rtl/>
        </w:rPr>
      </w:pPr>
      <w:r w:rsidRPr="009B00C8">
        <w:rPr>
          <w:rtl/>
        </w:rPr>
        <w:t>בנוסף מוצע לקבוע כי גורם מאשר או גורם נוסף, ישיב לפנייה שהגיש מבקש ההיתר או מי מטעמו לקבלת מידע, לאישורו, או להתייעצות או לתיאום עמו, בתוך 30 ימים מיום הפנייה אליו. ואם לא השיב הגורם המאשר או הגורם הנוסף, לפי העניין, עד תום התקופה האמורה, יראו בתום התקופה, כאילו נתן את הסכמתו לביצוע הבקשה להיתר, ואם הבקשה היא לקבלת מידע – כאילו אין בידו מידע שיש בו כדי להשפיע על הבקשה להיתר. מוצע להסמיך את שר הפנים לקבוע הוראות בתקנות בעניינים אלה.</w:t>
      </w:r>
    </w:p>
    <w:p w14:paraId="28379745" w14:textId="77777777" w:rsidR="00B75481" w:rsidRPr="009B00C8" w:rsidRDefault="00B75481" w:rsidP="009B05F6">
      <w:pPr>
        <w:pStyle w:val="Hesber"/>
        <w:spacing w:line="276" w:lineRule="auto"/>
        <w:rPr>
          <w:rtl/>
        </w:rPr>
      </w:pPr>
      <w:r w:rsidRPr="009B00C8">
        <w:rPr>
          <w:rtl/>
        </w:rPr>
        <w:t>תחילה, תחולה והוראות מעבר</w:t>
      </w:r>
    </w:p>
    <w:p w14:paraId="77B2F1C1" w14:textId="6019454B" w:rsidR="00B75481" w:rsidRPr="009B00C8" w:rsidRDefault="00B75481" w:rsidP="009B05F6">
      <w:pPr>
        <w:pStyle w:val="Hesber"/>
        <w:spacing w:line="276" w:lineRule="auto"/>
        <w:rPr>
          <w:rtl/>
        </w:rPr>
      </w:pPr>
      <w:r w:rsidRPr="009B00C8">
        <w:rPr>
          <w:rtl/>
        </w:rPr>
        <w:t>מוצע לקבוע כי אם החל מוסד תכנון לדון ב</w:t>
      </w:r>
      <w:r w:rsidR="009B05F6">
        <w:rPr>
          <w:rtl/>
        </w:rPr>
        <w:t>תוכנית</w:t>
      </w:r>
      <w:r w:rsidRPr="009B00C8">
        <w:rPr>
          <w:rtl/>
        </w:rPr>
        <w:t xml:space="preserve"> ולפני שהשלים את הדיון באותה </w:t>
      </w:r>
      <w:r w:rsidR="009B05F6">
        <w:rPr>
          <w:rtl/>
        </w:rPr>
        <w:t>תוכנית</w:t>
      </w:r>
      <w:r w:rsidRPr="009B00C8">
        <w:rPr>
          <w:rtl/>
        </w:rPr>
        <w:t xml:space="preserve">, עברה הסמכות לגבי אותה </w:t>
      </w:r>
      <w:r w:rsidR="009B05F6">
        <w:rPr>
          <w:rtl/>
        </w:rPr>
        <w:t>תוכנית</w:t>
      </w:r>
      <w:r w:rsidRPr="009B00C8">
        <w:rPr>
          <w:rtl/>
        </w:rPr>
        <w:t xml:space="preserve"> לפי הוראות חוק מוצע זה, למוסד תכנון אחר, יעביר מוסד התכנון את הדיון למוסד התכנון האחר. אבל אם הופקדה ה</w:t>
      </w:r>
      <w:r w:rsidR="009B05F6">
        <w:rPr>
          <w:rtl/>
        </w:rPr>
        <w:t>תוכנית</w:t>
      </w:r>
      <w:r w:rsidRPr="009B00C8">
        <w:rPr>
          <w:rtl/>
        </w:rPr>
        <w:t xml:space="preserve"> לפני שעברה הסמכות למוסד התכנון האחר, למוסד התכנון אשר החליט על הפקדת התוכנית תהיה נתונה הסמכות להמשיך ולדון באותה </w:t>
      </w:r>
      <w:r w:rsidR="009B05F6">
        <w:rPr>
          <w:rtl/>
        </w:rPr>
        <w:t>תוכנית</w:t>
      </w:r>
      <w:r w:rsidRPr="009B00C8">
        <w:rPr>
          <w:rtl/>
        </w:rPr>
        <w:t xml:space="preserve">. בנוסף, ובשל כך שמדובר בהוראת שעה למשך חמש שנים, מוצע לקבוע כי אם החליט מוסד תכנון להפקיד </w:t>
      </w:r>
      <w:r w:rsidR="009B05F6">
        <w:rPr>
          <w:rtl/>
        </w:rPr>
        <w:t>תוכנית</w:t>
      </w:r>
      <w:r w:rsidRPr="009B00C8">
        <w:rPr>
          <w:rtl/>
        </w:rPr>
        <w:t xml:space="preserve"> לפי הוראות הצעת חוק זו, בתוך תקופת הוראת השעה, תמשיך להיות לו הסמכות לדון באותה </w:t>
      </w:r>
      <w:r w:rsidR="009B05F6">
        <w:rPr>
          <w:rtl/>
        </w:rPr>
        <w:t>תוכנית</w:t>
      </w:r>
      <w:r w:rsidRPr="009B00C8">
        <w:rPr>
          <w:rtl/>
        </w:rPr>
        <w:t>, לאשרה או לדחותה גם לאחר תום תקופת הוראת השעה</w:t>
      </w:r>
      <w:r w:rsidRPr="009B00C8">
        <w:t>.</w:t>
      </w:r>
      <w:r w:rsidRPr="009B00C8">
        <w:rPr>
          <w:rtl/>
        </w:rPr>
        <w:t xml:space="preserve"> כך גם אם הוגשה בקשה להיתר לפי הוראות הצעת חוק זו, בתוך תקופת הוראת השעה, ימשיכו לחול הוראות הצעת חוק זו לגבי אותה בקשה להיתר, גם לאחר תום תקופת הוראת השעה.</w:t>
      </w:r>
    </w:p>
    <w:p w14:paraId="26F16217" w14:textId="76E66F68" w:rsidR="00B75481" w:rsidRPr="009B00C8" w:rsidRDefault="00B75481" w:rsidP="009B05F6">
      <w:pPr>
        <w:pStyle w:val="Hesber"/>
        <w:spacing w:line="276" w:lineRule="auto"/>
      </w:pPr>
      <w:r w:rsidRPr="009B00C8">
        <w:rPr>
          <w:rtl/>
        </w:rPr>
        <w:t xml:space="preserve">הפרקים המובאים בחוק זה זהים לפרקים כפי שהם מופיעים בתזכיר </w:t>
      </w:r>
      <w:r>
        <w:rPr>
          <w:rFonts w:hint="cs"/>
          <w:rtl/>
        </w:rPr>
        <w:t>חוק חידוש ופיתוח חבל התקומה, התשפ"ד</w:t>
      </w:r>
      <w:r w:rsidR="00FC5E8E">
        <w:rPr>
          <w:rFonts w:hint="cs"/>
          <w:rtl/>
        </w:rPr>
        <w:t>–</w:t>
      </w:r>
      <w:r>
        <w:rPr>
          <w:rFonts w:hint="cs"/>
          <w:rtl/>
        </w:rPr>
        <w:t xml:space="preserve">2024, </w:t>
      </w:r>
      <w:r w:rsidR="00FC5E8E">
        <w:rPr>
          <w:rtl/>
        </w:rPr>
        <w:t>שהוצע על</w:t>
      </w:r>
      <w:r w:rsidR="009B05F6">
        <w:rPr>
          <w:rFonts w:hint="cs"/>
          <w:rtl/>
        </w:rPr>
        <w:t xml:space="preserve"> </w:t>
      </w:r>
      <w:r w:rsidRPr="009B00C8">
        <w:rPr>
          <w:rtl/>
        </w:rPr>
        <w:t>ידי הממשלה ב</w:t>
      </w:r>
      <w:r w:rsidR="009B05F6">
        <w:rPr>
          <w:rFonts w:hint="cs"/>
          <w:rtl/>
        </w:rPr>
        <w:t>יום 9 באפריל 2024.</w:t>
      </w:r>
    </w:p>
    <w:bookmarkEnd w:id="9"/>
    <w:p w14:paraId="154CD244" w14:textId="77777777" w:rsidR="00B75481" w:rsidRPr="009B00C8" w:rsidRDefault="00B75481" w:rsidP="009B05F6">
      <w:pPr>
        <w:pStyle w:val="Hesber"/>
        <w:spacing w:line="276" w:lineRule="auto"/>
      </w:pPr>
    </w:p>
    <w:p w14:paraId="1594B8F4" w14:textId="77777777" w:rsidR="00B16CC7" w:rsidRDefault="00210993" w:rsidP="009B05F6">
      <w:pPr>
        <w:spacing w:before="0" w:line="276" w:lineRule="auto"/>
        <w:jc w:val="left"/>
      </w:pPr>
      <w:bookmarkStart w:id="10" w:name="selectedDocDateB"/>
      <w:bookmarkEnd w:id="8"/>
      <w:bookmarkEnd w:id="10"/>
      <w:r>
        <w:rPr>
          <w:rFonts w:ascii="David" w:eastAsia="David" w:hAnsi="David" w:cs="David" w:hint="cs"/>
          <w:sz w:val="26"/>
          <w:szCs w:val="26"/>
          <w:rtl/>
        </w:rPr>
        <w:t>--------------------------------</w:t>
      </w:r>
    </w:p>
    <w:p w14:paraId="058814DA" w14:textId="77777777" w:rsidR="00B16CC7" w:rsidRDefault="00210993" w:rsidP="009B05F6">
      <w:pPr>
        <w:spacing w:before="0" w:line="276" w:lineRule="auto"/>
        <w:jc w:val="left"/>
      </w:pPr>
      <w:r>
        <w:rPr>
          <w:rFonts w:ascii="David" w:eastAsia="David" w:hAnsi="David" w:cs="David" w:hint="cs"/>
          <w:sz w:val="26"/>
          <w:szCs w:val="26"/>
          <w:rtl/>
        </w:rPr>
        <w:t>הוגשה ליו"ר הכנסת והסגנים</w:t>
      </w:r>
    </w:p>
    <w:p w14:paraId="5094A91D" w14:textId="77777777" w:rsidR="00B16CC7" w:rsidRDefault="00210993" w:rsidP="009B05F6">
      <w:pPr>
        <w:spacing w:before="0" w:line="276" w:lineRule="auto"/>
        <w:jc w:val="left"/>
      </w:pPr>
      <w:r>
        <w:rPr>
          <w:rFonts w:ascii="David" w:eastAsia="David" w:hAnsi="David" w:cs="David" w:hint="cs"/>
          <w:sz w:val="26"/>
          <w:szCs w:val="26"/>
          <w:rtl/>
        </w:rPr>
        <w:t>והונחה על שולחן הכנסת ביום</w:t>
      </w:r>
    </w:p>
    <w:p w14:paraId="7228A708" w14:textId="77777777" w:rsidR="00B16CC7" w:rsidRDefault="00210993" w:rsidP="009B05F6">
      <w:pPr>
        <w:spacing w:before="0" w:line="276" w:lineRule="auto"/>
        <w:jc w:val="left"/>
      </w:pPr>
      <w:r>
        <w:rPr>
          <w:rFonts w:ascii="David" w:eastAsia="David" w:hAnsi="David" w:cs="David" w:hint="cs"/>
          <w:sz w:val="26"/>
          <w:szCs w:val="26"/>
          <w:rtl/>
        </w:rPr>
        <w:t xml:space="preserve">א' בכסלו התשפ"ה (02.12.2024) </w:t>
      </w:r>
    </w:p>
    <w:p w14:paraId="6136FCFF" w14:textId="77777777" w:rsidR="00B16CC7" w:rsidRDefault="00B16CC7">
      <w:pPr>
        <w:spacing w:before="0" w:line="276" w:lineRule="auto"/>
        <w:jc w:val="left"/>
      </w:pPr>
      <w:bookmarkStart w:id="11" w:name="_GoBack"/>
      <w:bookmarkEnd w:id="11"/>
    </w:p>
    <w:sectPr w:rsidR="00B16CC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5FA2F432"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B05F6">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A6F74A3" w14:textId="77777777" w:rsidR="00B75481" w:rsidRPr="00FC5E8E" w:rsidRDefault="00B75481" w:rsidP="00FC5E8E">
      <w:pPr>
        <w:pStyle w:val="a4"/>
        <w:rPr>
          <w:u w:val="none"/>
          <w:rtl/>
        </w:rPr>
      </w:pPr>
      <w:r w:rsidRPr="00FC5E8E">
        <w:rPr>
          <w:rStyle w:val="a6"/>
          <w:u w:val="none"/>
        </w:rPr>
        <w:footnoteRef/>
      </w:r>
      <w:r w:rsidRPr="00FC5E8E">
        <w:rPr>
          <w:u w:val="none"/>
          <w:rtl/>
        </w:rPr>
        <w:t xml:space="preserve"> </w:t>
      </w:r>
      <w:r w:rsidRPr="00FC5E8E">
        <w:rPr>
          <w:rFonts w:hint="cs"/>
          <w:u w:val="none"/>
          <w:rtl/>
        </w:rPr>
        <w:t>ס"ח התשי"ט עמ' 234.</w:t>
      </w:r>
    </w:p>
  </w:footnote>
  <w:footnote w:id="3">
    <w:p w14:paraId="20DA9384" w14:textId="77777777" w:rsidR="00B75481" w:rsidRDefault="00B75481" w:rsidP="00FC5E8E">
      <w:pPr>
        <w:pStyle w:val="a4"/>
      </w:pPr>
      <w:r w:rsidRPr="00FC5E8E">
        <w:rPr>
          <w:rStyle w:val="a6"/>
          <w:u w:val="none"/>
        </w:rPr>
        <w:footnoteRef/>
      </w:r>
      <w:r w:rsidRPr="00FC5E8E">
        <w:rPr>
          <w:u w:val="none"/>
          <w:rtl/>
        </w:rPr>
        <w:t xml:space="preserve"> </w:t>
      </w:r>
      <w:r w:rsidRPr="00FC5E8E">
        <w:rPr>
          <w:rFonts w:hint="cs"/>
          <w:u w:val="none"/>
          <w:rtl/>
        </w:rPr>
        <w:t>ס"ח התשי"ב, עמ' 354.</w:t>
      </w:r>
    </w:p>
  </w:footnote>
  <w:footnote w:id="4">
    <w:p w14:paraId="7C5A03FE" w14:textId="1F618334" w:rsidR="00B75481" w:rsidRPr="00FC5E8E" w:rsidRDefault="00B75481" w:rsidP="00FC5E8E">
      <w:pPr>
        <w:pStyle w:val="a4"/>
        <w:rPr>
          <w:u w:val="none"/>
          <w:rtl/>
        </w:rPr>
      </w:pPr>
      <w:r w:rsidRPr="00FC5E8E">
        <w:rPr>
          <w:rStyle w:val="a6"/>
          <w:u w:val="none"/>
        </w:rPr>
        <w:footnoteRef/>
      </w:r>
      <w:r w:rsidRPr="00FC5E8E">
        <w:rPr>
          <w:u w:val="none"/>
          <w:rtl/>
        </w:rPr>
        <w:t xml:space="preserve"> </w:t>
      </w:r>
      <w:r w:rsidR="00FC5E8E">
        <w:rPr>
          <w:rFonts w:hint="cs"/>
          <w:u w:val="none"/>
          <w:rtl/>
        </w:rPr>
        <w:t>ס"ח תשמ"ח עמ' 122,.</w:t>
      </w:r>
    </w:p>
  </w:footnote>
  <w:footnote w:id="5">
    <w:p w14:paraId="24582DB2" w14:textId="77777777" w:rsidR="00FC5E8E" w:rsidRPr="00FC5E8E" w:rsidRDefault="00FC5E8E" w:rsidP="00FC5E8E">
      <w:pPr>
        <w:pStyle w:val="a4"/>
        <w:rPr>
          <w:u w:val="none"/>
          <w:rtl/>
        </w:rPr>
      </w:pPr>
      <w:r w:rsidRPr="00FC5E8E">
        <w:rPr>
          <w:rStyle w:val="a6"/>
          <w:u w:val="none"/>
        </w:rPr>
        <w:footnoteRef/>
      </w:r>
      <w:r w:rsidRPr="00FC5E8E">
        <w:rPr>
          <w:u w:val="none"/>
          <w:rtl/>
        </w:rPr>
        <w:t xml:space="preserve"> </w:t>
      </w:r>
      <w:hyperlink r:id="rId1" w:history="1">
        <w:r w:rsidRPr="00FC5E8E">
          <w:rPr>
            <w:rStyle w:val="Hyperlink"/>
            <w:color w:val="auto"/>
            <w:u w:val="none"/>
            <w:rtl/>
          </w:rPr>
          <w:t>תזכיר חוק שיקום ופיתוח חבל התקומה</w:t>
        </w:r>
        <w:r w:rsidRPr="00FC5E8E">
          <w:rPr>
            <w:rStyle w:val="Hyperlink"/>
            <w:rFonts w:hint="cs"/>
            <w:color w:val="auto"/>
            <w:u w:val="none"/>
            <w:rtl/>
          </w:rPr>
          <w:t>.</w:t>
        </w:r>
      </w:hyperlink>
    </w:p>
  </w:footnote>
  <w:footnote w:id="6">
    <w:p w14:paraId="65DDDA68" w14:textId="72AE3504" w:rsidR="00B75481" w:rsidRDefault="00B75481" w:rsidP="00FC5E8E">
      <w:pPr>
        <w:pStyle w:val="a4"/>
      </w:pPr>
      <w:r w:rsidRPr="00FC5E8E">
        <w:rPr>
          <w:rStyle w:val="a6"/>
          <w:u w:val="none"/>
        </w:rPr>
        <w:footnoteRef/>
      </w:r>
      <w:r w:rsidRPr="00FC5E8E">
        <w:rPr>
          <w:u w:val="none"/>
          <w:rtl/>
        </w:rPr>
        <w:t xml:space="preserve"> </w:t>
      </w:r>
      <w:r w:rsidR="00FC5E8E">
        <w:rPr>
          <w:rFonts w:hint="cs"/>
          <w:u w:val="none"/>
          <w:rtl/>
        </w:rPr>
        <w:t>ס"ח התשי"ח, עמ' 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9747D2"/>
    <w:multiLevelType w:val="hybridMultilevel"/>
    <w:tmpl w:val="4530CB3A"/>
    <w:lvl w:ilvl="0" w:tplc="74E4E92E">
      <w:start w:val="1"/>
      <w:numFmt w:val="decimal"/>
      <w:lvlText w:val="%1."/>
      <w:lvlJc w:val="left"/>
      <w:pPr>
        <w:ind w:left="360" w:hanging="360"/>
      </w:pPr>
      <w:rPr>
        <w:rFonts w:ascii="David" w:hAnsi="David"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C922B4"/>
    <w:multiLevelType w:val="hybridMultilevel"/>
    <w:tmpl w:val="49907A18"/>
    <w:lvl w:ilvl="0" w:tplc="54C47CC6">
      <w:start w:val="1"/>
      <w:numFmt w:val="decimal"/>
      <w:lvlText w:val="(%1)"/>
      <w:lvlJc w:val="left"/>
      <w:pPr>
        <w:ind w:left="990" w:hanging="6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0993"/>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13937"/>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4E79FB"/>
    <w:rsid w:val="005154A6"/>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743F1"/>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05F6"/>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16CC7"/>
    <w:rsid w:val="00B21211"/>
    <w:rsid w:val="00B35784"/>
    <w:rsid w:val="00B733A7"/>
    <w:rsid w:val="00B75481"/>
    <w:rsid w:val="00B75C91"/>
    <w:rsid w:val="00B975AD"/>
    <w:rsid w:val="00BC45FB"/>
    <w:rsid w:val="00BF148D"/>
    <w:rsid w:val="00C23B1A"/>
    <w:rsid w:val="00C310EB"/>
    <w:rsid w:val="00C9176A"/>
    <w:rsid w:val="00CF1AA2"/>
    <w:rsid w:val="00D142D3"/>
    <w:rsid w:val="00D17774"/>
    <w:rsid w:val="00D63620"/>
    <w:rsid w:val="00D73854"/>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526CB"/>
    <w:rsid w:val="00F628D6"/>
    <w:rsid w:val="00F67051"/>
    <w:rsid w:val="00F86A1E"/>
    <w:rsid w:val="00FA5E88"/>
    <w:rsid w:val="00FC5E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CD0CA9A-C4D2-42C9-84E4-6F4D10DE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FC5E8E"/>
    <w:pPr>
      <w:snapToGrid w:val="0"/>
      <w:spacing w:before="0" w:line="240" w:lineRule="auto"/>
      <w:ind w:left="227" w:hanging="227"/>
      <w:jc w:val="left"/>
    </w:pPr>
    <w:rPr>
      <w:rFonts w:ascii="Arial" w:eastAsia="Arial Unicode MS" w:hAnsi="Arial" w:cs="David"/>
      <w:snapToGrid w:val="0"/>
      <w:color w:val="auto"/>
      <w:spacing w:val="0"/>
      <w:sz w:val="14"/>
      <w:szCs w:val="20"/>
      <w:u w:val="single"/>
    </w:rPr>
  </w:style>
  <w:style w:type="character" w:styleId="a6">
    <w:name w:val="footnote reference"/>
    <w:aliases w:val="Footnote Reference_0"/>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FC5E8E"/>
    <w:rPr>
      <w:rFonts w:ascii="Arial" w:eastAsia="Arial Unicode MS" w:hAnsi="Arial" w:cs="David"/>
      <w:snapToGrid w:val="0"/>
      <w:sz w:val="14"/>
      <w:u w:val="single"/>
      <w:lang w:eastAsia="ja-JP"/>
    </w:rPr>
  </w:style>
  <w:style w:type="character" w:styleId="Hyperlink">
    <w:name w:val="Hyperlink"/>
    <w:basedOn w:val="a0"/>
    <w:uiPriority w:val="99"/>
    <w:unhideWhenUsed/>
    <w:rsid w:val="00D73854"/>
    <w:rPr>
      <w:color w:val="0000FF" w:themeColor="hyperlink"/>
      <w:u w:val="single"/>
    </w:rPr>
  </w:style>
  <w:style w:type="paragraph" w:styleId="ae">
    <w:name w:val="Quote"/>
    <w:basedOn w:val="a"/>
    <w:next w:val="a"/>
    <w:link w:val="af"/>
    <w:uiPriority w:val="29"/>
    <w:qFormat/>
    <w:rsid w:val="00D73854"/>
    <w:pPr>
      <w:autoSpaceDE/>
      <w:autoSpaceDN/>
      <w:adjustRightInd/>
      <w:spacing w:before="160" w:line="360" w:lineRule="auto"/>
      <w:ind w:left="340" w:firstLine="0"/>
      <w:contextualSpacing/>
      <w:jc w:val="center"/>
      <w:textAlignment w:val="auto"/>
    </w:pPr>
    <w:rPr>
      <w:rFonts w:ascii="David" w:eastAsiaTheme="minorHAnsi" w:hAnsi="David" w:cs="David"/>
      <w:i/>
      <w:iCs/>
      <w:color w:val="404040" w:themeColor="text1" w:themeTint="BF"/>
      <w:spacing w:val="0"/>
      <w:sz w:val="24"/>
      <w:szCs w:val="24"/>
      <w:lang w:eastAsia="en-US"/>
    </w:rPr>
  </w:style>
  <w:style w:type="character" w:customStyle="1" w:styleId="af">
    <w:name w:val="ציטוט תו"/>
    <w:basedOn w:val="a0"/>
    <w:link w:val="ae"/>
    <w:uiPriority w:val="29"/>
    <w:rsid w:val="00D73854"/>
    <w:rPr>
      <w:rFonts w:ascii="David" w:eastAsiaTheme="minorHAnsi" w:hAnsi="David" w:cs="David"/>
      <w:i/>
      <w:iCs/>
      <w:color w:val="404040" w:themeColor="text1" w:themeTint="BF"/>
      <w:sz w:val="24"/>
      <w:szCs w:val="24"/>
    </w:rPr>
  </w:style>
  <w:style w:type="paragraph" w:styleId="af0">
    <w:name w:val="Subtitle"/>
    <w:basedOn w:val="a"/>
    <w:next w:val="a"/>
    <w:link w:val="af1"/>
    <w:uiPriority w:val="11"/>
    <w:qFormat/>
    <w:rsid w:val="00D73854"/>
    <w:pPr>
      <w:numPr>
        <w:ilvl w:val="1"/>
      </w:numPr>
      <w:autoSpaceDE/>
      <w:autoSpaceDN/>
      <w:adjustRightInd/>
      <w:spacing w:before="0" w:line="360" w:lineRule="auto"/>
      <w:ind w:left="340" w:firstLine="340"/>
      <w:contextualSpacing/>
      <w:textAlignment w:val="auto"/>
    </w:pPr>
    <w:rPr>
      <w:rFonts w:ascii="David" w:eastAsiaTheme="majorEastAsia" w:hAnsi="David" w:cstheme="majorBidi"/>
      <w:color w:val="595959" w:themeColor="text1" w:themeTint="A6"/>
      <w:spacing w:val="15"/>
      <w:sz w:val="28"/>
      <w:szCs w:val="28"/>
      <w:lang w:eastAsia="en-US"/>
    </w:rPr>
  </w:style>
  <w:style w:type="character" w:customStyle="1" w:styleId="af1">
    <w:name w:val="כותרת משנה תו"/>
    <w:basedOn w:val="a0"/>
    <w:link w:val="af0"/>
    <w:uiPriority w:val="11"/>
    <w:rsid w:val="00D73854"/>
    <w:rPr>
      <w:rFonts w:ascii="David" w:eastAsiaTheme="majorEastAsia" w:hAnsi="David"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azkirim.gov.il/s/law-item/a093Y00001hhF7EQAU/%D7%AA%D7%96%D7%9B%D7%99%D7%A8-%D7%97%D7%95%D7%A7-%D7%A9%D7%99%D7%A7%D7%95%D7%9D-%D7%95%D7%A4%D7%99%D7%AA%D7%95%D7%97-%D7%97%D7%91%D7%9C-%D7%94%D7%AA%D7%A7%D7%95%D7%9E%D7%94?language=iw"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9505-F798-475F-B37A-9D27F4FA7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www.w3.org/XML/1998/namespace"/>
    <ds:schemaRef ds:uri="http://schemas.microsoft.com/office/infopath/2007/PartnerControls"/>
    <ds:schemaRef ds:uri="290d5b49-c690-4c6f-bbb9-1e50dab33eee"/>
    <ds:schemaRef ds:uri="http://purl.org/dc/terms/"/>
    <ds:schemaRef ds:uri="http://schemas.microsoft.com/office/2006/metadata/properties"/>
    <ds:schemaRef ds:uri="http://schemas.microsoft.com/office/2006/documentManagement/types"/>
    <ds:schemaRef ds:uri="http://purl.org/dc/elements/1.1/"/>
    <ds:schemaRef ds:uri="http://purl.org/dc/dcmitype/"/>
  </ds:schemaRefs>
</ds:datastoreItem>
</file>

<file path=customXml/itemProps4.xml><?xml version="1.0" encoding="utf-8"?>
<ds:datastoreItem xmlns:ds="http://schemas.openxmlformats.org/officeDocument/2006/customXml" ds:itemID="{A471DF2B-2EED-4139-8CF4-E0132706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1350</Words>
  <Characters>7699</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11</cp:revision>
  <cp:lastPrinted>2013-07-04T08:25:00Z</cp:lastPrinted>
  <dcterms:created xsi:type="dcterms:W3CDTF">2015-04-20T09:58:00Z</dcterms:created>
  <dcterms:modified xsi:type="dcterms:W3CDTF">2024-12-01T11:22:00Z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2222860</vt:r8>
  </property>
</Properties>
</file>